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F31AD" w14:paraId="59E2755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D2DF1C" w14:textId="77777777" w:rsidR="00DF31AD" w:rsidRDefault="0057738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C5EB59" w14:textId="77777777" w:rsidR="00DF31AD" w:rsidRDefault="00577387">
            <w:pPr>
              <w:spacing w:after="0" w:line="240" w:lineRule="auto"/>
            </w:pPr>
            <w:r>
              <w:t>22937</w:t>
            </w:r>
          </w:p>
        </w:tc>
      </w:tr>
      <w:tr w:rsidR="00DF31AD" w14:paraId="36E0518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BBA946" w14:textId="77777777" w:rsidR="00DF31AD" w:rsidRDefault="0057738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D59BE24" w14:textId="77777777" w:rsidR="00DF31AD" w:rsidRDefault="00577387">
            <w:pPr>
              <w:spacing w:after="0" w:line="240" w:lineRule="auto"/>
            </w:pPr>
            <w:r>
              <w:t>OSNOVNA ŠKOLA KOPRIVNIČKI BREGI</w:t>
            </w:r>
          </w:p>
        </w:tc>
      </w:tr>
      <w:tr w:rsidR="00DF31AD" w14:paraId="1A2BCE4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A3A751" w14:textId="77777777" w:rsidR="00DF31AD" w:rsidRDefault="0057738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F56A604" w14:textId="77777777" w:rsidR="00DF31AD" w:rsidRDefault="00577387">
            <w:pPr>
              <w:spacing w:after="0" w:line="240" w:lineRule="auto"/>
            </w:pPr>
            <w:r>
              <w:t>31</w:t>
            </w:r>
          </w:p>
        </w:tc>
      </w:tr>
    </w:tbl>
    <w:p w14:paraId="1D94758C" w14:textId="77777777" w:rsidR="00DF31AD" w:rsidRDefault="00577387">
      <w:r>
        <w:br/>
      </w:r>
    </w:p>
    <w:p w14:paraId="636E3ED8" w14:textId="77777777" w:rsidR="00DF31AD" w:rsidRDefault="0057738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76DCD25" w14:textId="77777777" w:rsidR="00DF31AD" w:rsidRDefault="0057738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A63D4C3" w14:textId="77777777" w:rsidR="00DF31AD" w:rsidRDefault="00577387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12E63241" w14:textId="77777777" w:rsidR="00DF31AD" w:rsidRDefault="00DF31AD"/>
    <w:p w14:paraId="2422B34B" w14:textId="77777777" w:rsidR="00DF31AD" w:rsidRDefault="0057738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2450941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4E068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0E79F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26C8B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AE9A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2D814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84F6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A3BD7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277370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91F9E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EEFEC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736EF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32E9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697.716,10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F207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793.267,06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C2A6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DF31AD" w14:paraId="2E6878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A4314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C1EF3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C0B19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2881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769.168,63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C85B2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777.017,06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1CA3E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  <w:tr w:rsidR="00DF31AD" w14:paraId="7AB9F9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0C782" w14:textId="77777777" w:rsidR="00DF31AD" w:rsidRDefault="00DF31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52C53A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53DC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FD0DC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C7265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D6AE1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F31AD" w14:paraId="5F6553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87350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5CA81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96701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1536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864B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B9379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31AD" w14:paraId="40F20F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338CF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747E6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E0F35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A372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13.586,25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19C6A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8.296,42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A8DE3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61,1</w:t>
            </w:r>
          </w:p>
        </w:tc>
      </w:tr>
      <w:tr w:rsidR="00DF31AD" w14:paraId="5D6035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E6AFA" w14:textId="77777777" w:rsidR="00DF31AD" w:rsidRDefault="00DF31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9AC2EC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4CA3A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EDB8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13.586,25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89651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8.296,42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B9E2F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61,1</w:t>
            </w:r>
          </w:p>
        </w:tc>
      </w:tr>
      <w:tr w:rsidR="00DF31AD" w14:paraId="5622F7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24A50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9C26B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4572A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0CD5C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319DE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40C2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31AD" w14:paraId="2DC496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01A6D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2819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26E53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F3248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8BC9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89F51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31AD" w14:paraId="42D6A4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CCA89" w14:textId="77777777" w:rsidR="00DF31AD" w:rsidRDefault="00DF31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2E746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F4BC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B327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BCDE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70C7B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F31AD" w14:paraId="6A21FF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9DABD" w14:textId="77777777" w:rsidR="00DF31AD" w:rsidRDefault="00DF31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96A69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4319C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003F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5E45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7.953,58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5B8DE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5589B4E" w14:textId="77777777" w:rsidR="00DF31AD" w:rsidRDefault="00DF31AD">
      <w:pPr>
        <w:spacing w:after="0"/>
      </w:pPr>
    </w:p>
    <w:p w14:paraId="234AD4AE" w14:textId="77777777" w:rsidR="00DF31AD" w:rsidRDefault="00577387" w:rsidP="00623219">
      <w:pPr>
        <w:jc w:val="both"/>
      </w:pPr>
      <w:r>
        <w:t>U razdoblju od 1. siječnja do 30. lipnja 2026. godine ostvareni su prihodi poslovanja u iznosu od 793.267,06 EUR. Povećanje prihoda ponajprije je rezultat ostvarenih prihoda od prodaje viška proizvedene električne energije iz 2025. godine, rasta prihoda te</w:t>
      </w:r>
      <w:r>
        <w:t>meljem povećanja broja zaposlenih te primitaka za provedbu aktivnosti B1 u sklopu CDŠ‑a.</w:t>
      </w:r>
    </w:p>
    <w:p w14:paraId="08CDECC8" w14:textId="7BEC86E5" w:rsidR="00DF31AD" w:rsidRDefault="00577387" w:rsidP="00623219">
      <w:pPr>
        <w:jc w:val="both"/>
      </w:pPr>
      <w:r>
        <w:t>Rashodi poslovanja u promatranom razdoblju iznosili su 777.017,06 EUR. Najznačajniji porast rashoda odnosi se na rashode za usluge, osobito troškove organizacije prije</w:t>
      </w:r>
      <w:r>
        <w:t xml:space="preserve">voza učenika </w:t>
      </w:r>
      <w:r>
        <w:lastRenderedPageBreak/>
        <w:t>sudionika županijskog natjecanja iz njemačkog jezika koj</w:t>
      </w:r>
      <w:r w:rsidR="00AF7A27">
        <w:t>e</w:t>
      </w:r>
      <w:r>
        <w:t>m je domaćin bila naša škola, te na ostale rashode povezane s provedbom aktivnosti B1 u sklopu CDŠ‑a.</w:t>
      </w:r>
    </w:p>
    <w:p w14:paraId="5F0178C4" w14:textId="77777777" w:rsidR="00DF31AD" w:rsidRDefault="00577387" w:rsidP="00623219">
      <w:pPr>
        <w:jc w:val="both"/>
      </w:pPr>
      <w:r>
        <w:t>U razdoblju izvještavanja nisu ostvareni prihodi od prodaje nefinancijske imovine, do</w:t>
      </w:r>
      <w:r>
        <w:t>k su rashodi za nabavu nefinancijske imovine iznosili 8.296,42 EUR. Rashodi se odnose na nabavu uredske opreme i namještaja, uređaja, strojeva i opreme za ostale namjene te opreme za održavanje i zaštitu. Primitci i izdaci od financijske imovine i zaduživa</w:t>
      </w:r>
      <w:r>
        <w:t>nja nisu ostvareni.</w:t>
      </w:r>
    </w:p>
    <w:p w14:paraId="5682D550" w14:textId="77777777" w:rsidR="00DF31AD" w:rsidRDefault="00577387" w:rsidP="00623219">
      <w:pPr>
        <w:jc w:val="both"/>
      </w:pPr>
      <w:r>
        <w:t>Na temelju navedenog, u razdoblju od 1. siječnja do 30. lipnja 2026. godine ostvaren je višak prihoda poslovanja u iznosu od 16.250,00 EUR te manjak prihoda od nefinancijske imovine u iznosu od 8.296,42 EUR. Ukupno je ostvaren višak pri</w:t>
      </w:r>
      <w:r>
        <w:t>hoda i primitaka u iznosu od 7.953,58 EUR.</w:t>
      </w:r>
    </w:p>
    <w:p w14:paraId="12C26148" w14:textId="510C1E52" w:rsidR="00DF31AD" w:rsidRDefault="00577387">
      <w:r>
        <w:t> </w:t>
      </w:r>
    </w:p>
    <w:p w14:paraId="461AC486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50CEA4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21975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749A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0CB88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CE7A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034A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FF674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448982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B519F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7148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B821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AA0A5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622.528,90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1B03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713.928,26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0D789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14:paraId="6A52F4C5" w14:textId="77777777" w:rsidR="00DF31AD" w:rsidRDefault="00DF31AD" w:rsidP="00623219">
      <w:pPr>
        <w:spacing w:after="0"/>
        <w:jc w:val="both"/>
      </w:pPr>
    </w:p>
    <w:p w14:paraId="0B852B45" w14:textId="77777777" w:rsidR="00DF31AD" w:rsidRDefault="00577387" w:rsidP="00623219">
      <w:pPr>
        <w:jc w:val="both"/>
      </w:pPr>
      <w:r>
        <w:t>Povećanje prihoda na tekućim pomoćima iz državnog proračuna bilježi se zbog dodijeljenih sredstava za provedbu B1 aktivnosti u sklopu CDŠ-a kojih u ovoj školskoj godini ima više u odnosu na prošlu 2024/2025 školsku godinu te zbog povećanja broja zaposlenih</w:t>
      </w:r>
      <w:r>
        <w:t xml:space="preserve"> u istom izvještajnom razdoblju prošle godine.</w:t>
      </w:r>
    </w:p>
    <w:p w14:paraId="0ED9B9A8" w14:textId="77777777" w:rsidR="00DF31AD" w:rsidRDefault="00DF31AD"/>
    <w:p w14:paraId="51B40F5D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2853A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E388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A7EE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3868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C2F9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9E808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73546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4575E9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25FC3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80862C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800A6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DE91F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53E2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F1E3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519,9</w:t>
            </w:r>
          </w:p>
        </w:tc>
      </w:tr>
    </w:tbl>
    <w:p w14:paraId="577CB08F" w14:textId="77777777" w:rsidR="00DF31AD" w:rsidRDefault="00DF31AD" w:rsidP="00623219">
      <w:pPr>
        <w:spacing w:after="0"/>
        <w:jc w:val="both"/>
      </w:pPr>
    </w:p>
    <w:p w14:paraId="658E5289" w14:textId="77777777" w:rsidR="00DF31AD" w:rsidRDefault="00577387" w:rsidP="00623219">
      <w:pPr>
        <w:jc w:val="both"/>
      </w:pPr>
      <w:r>
        <w:t>Bilježi se povećanje na prihodima od prodaje proizvoda i roba za višak proizvedene električne energije za 2025. godinu koje je škola ostvarila nakon što je osnivač škole Koprivničko-križevačka županija, na zgradi matične škole sufinancirao postavljanje fot</w:t>
      </w:r>
      <w:r>
        <w:t>onaponske elektrane. </w:t>
      </w:r>
    </w:p>
    <w:p w14:paraId="200143E3" w14:textId="77777777" w:rsidR="00DF31AD" w:rsidRDefault="00DF31AD"/>
    <w:p w14:paraId="6B962771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3D68C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3FAEE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E776B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8208E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5DBE0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0F69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1E7D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219003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8CCAE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D128AB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212E6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BAED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E305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0433B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33,7</w:t>
            </w:r>
          </w:p>
        </w:tc>
      </w:tr>
    </w:tbl>
    <w:p w14:paraId="2CF37E9B" w14:textId="77777777" w:rsidR="00DF31AD" w:rsidRDefault="00DF31AD">
      <w:pPr>
        <w:spacing w:after="0"/>
      </w:pPr>
    </w:p>
    <w:p w14:paraId="144CBC2E" w14:textId="77777777" w:rsidR="00DF31AD" w:rsidRDefault="00577387" w:rsidP="00623219">
      <w:pPr>
        <w:jc w:val="both"/>
      </w:pPr>
      <w:r>
        <w:t xml:space="preserve">U odnosu na isto razdoblje prethodne godine bilježi se smanjenje prihoda. Prošle je godine škola ostvarila donaciju materijala za izradu vanjske ograde od grupe mještana općine </w:t>
      </w:r>
      <w:r>
        <w:lastRenderedPageBreak/>
        <w:t xml:space="preserve">Koprivnički </w:t>
      </w:r>
      <w:proofErr w:type="spellStart"/>
      <w:r>
        <w:t>Bregi</w:t>
      </w:r>
      <w:proofErr w:type="spellEnd"/>
      <w:r>
        <w:t xml:space="preserve">, dok takvih donacija u tekućem razdoblju nije bilo. Nadalje, </w:t>
      </w:r>
      <w:r>
        <w:t>učenici škole su na natječaju na temu gospodarenja otpadom ove godine osvojili treće mjesto, zbog čega su dodijeljena sredstva bila niža u odnosu na prethodnu godinu kada je osvojeno prvo mjesto.</w:t>
      </w:r>
    </w:p>
    <w:p w14:paraId="5EDBE935" w14:textId="77777777" w:rsidR="00DF31AD" w:rsidRDefault="00DF31AD"/>
    <w:p w14:paraId="358E6E72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23DDE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FDD3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72E20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1479B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4F82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19B4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EF730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34E4E3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FC3F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DBDF0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C668B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6D1D6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CFBC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4A119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260,5</w:t>
            </w:r>
          </w:p>
        </w:tc>
      </w:tr>
    </w:tbl>
    <w:p w14:paraId="4BF287B3" w14:textId="77777777" w:rsidR="00DF31AD" w:rsidRDefault="00DF31AD" w:rsidP="00623219">
      <w:pPr>
        <w:spacing w:after="0"/>
        <w:jc w:val="both"/>
      </w:pPr>
    </w:p>
    <w:p w14:paraId="324CCAF9" w14:textId="77777777" w:rsidR="00DF31AD" w:rsidRDefault="00577387" w:rsidP="00623219">
      <w:pPr>
        <w:jc w:val="both"/>
      </w:pPr>
      <w:r>
        <w:t>Bilježi se povećanje, jer je u odnosu na isto razdoblje prošle godine u ovoj godini bio upućen veći broj djelatnika na CDŠ stručne skupove u organizaciji MZOM-a.</w:t>
      </w:r>
    </w:p>
    <w:p w14:paraId="47139058" w14:textId="77777777" w:rsidR="00DF31AD" w:rsidRDefault="00DF31AD"/>
    <w:p w14:paraId="54954A4C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4AFF2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026A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74408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9DAD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C840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2D7C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D3DF7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5C6EAC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B0729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3E90D9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7D6B0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3C92C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96F6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3BB2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305,5</w:t>
            </w:r>
          </w:p>
        </w:tc>
      </w:tr>
    </w:tbl>
    <w:p w14:paraId="1CDA4185" w14:textId="77777777" w:rsidR="00DF31AD" w:rsidRDefault="00DF31AD">
      <w:pPr>
        <w:spacing w:after="0"/>
      </w:pPr>
    </w:p>
    <w:p w14:paraId="7C105651" w14:textId="77777777" w:rsidR="00DF31AD" w:rsidRDefault="00577387" w:rsidP="00623219">
      <w:pPr>
        <w:jc w:val="both"/>
      </w:pPr>
      <w:r>
        <w:t>Bilježi se povećanje rashoda zbog organiziranja prijevoza za sve učenike koji su sudjelovali na županijskom natjecanju iz njemačkog jezika čiji je domaćin u veljači 2026. godine bila naša škola.</w:t>
      </w:r>
    </w:p>
    <w:p w14:paraId="19CC5AD0" w14:textId="77777777" w:rsidR="00DF31AD" w:rsidRDefault="00DF31AD"/>
    <w:p w14:paraId="4FC49AEE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60E75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86D3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3694B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B3B90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8CA91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012EB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2669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406BCB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AE907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A8551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92AC0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9D5AE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7241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062D1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417,9</w:t>
            </w:r>
          </w:p>
        </w:tc>
      </w:tr>
    </w:tbl>
    <w:p w14:paraId="0263784F" w14:textId="77777777" w:rsidR="00DF31AD" w:rsidRDefault="00DF31AD">
      <w:pPr>
        <w:spacing w:after="0"/>
      </w:pPr>
    </w:p>
    <w:p w14:paraId="3D0B23AD" w14:textId="77777777" w:rsidR="00DF31AD" w:rsidRDefault="00577387" w:rsidP="00623219">
      <w:pPr>
        <w:jc w:val="both"/>
      </w:pPr>
      <w:r>
        <w:t>Bilježi se povećanje rashoda na zdravstvenim uslugama, jer su djelatnici upućeni na sistematske preglede.</w:t>
      </w:r>
    </w:p>
    <w:p w14:paraId="6F64676F" w14:textId="77777777" w:rsidR="00DF31AD" w:rsidRDefault="00DF31AD"/>
    <w:p w14:paraId="79E0F805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50E65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7CAD5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D205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DECE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6A1E7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DED0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B757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7AABA2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C4E81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BC8813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D193F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E3F4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E8C3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6ED55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814E8A" w14:textId="77777777" w:rsidR="00DF31AD" w:rsidRDefault="00DF31AD">
      <w:pPr>
        <w:spacing w:after="0"/>
      </w:pPr>
    </w:p>
    <w:p w14:paraId="6CAEBBCD" w14:textId="77777777" w:rsidR="00DF31AD" w:rsidRDefault="00577387" w:rsidP="00623219">
      <w:pPr>
        <w:jc w:val="both"/>
      </w:pPr>
      <w:r>
        <w:lastRenderedPageBreak/>
        <w:t xml:space="preserve">Bilježi se povećanje rashoda, jer su isplaćeni ugovori o djelu povjerenstvu županijskog natjecanja iz njemačkog jezika te predavačici koja je održala predavanje na </w:t>
      </w:r>
      <w:proofErr w:type="spellStart"/>
      <w:r>
        <w:t>žsv</w:t>
      </w:r>
      <w:proofErr w:type="spellEnd"/>
      <w:r>
        <w:t>-u njemački jezik dok u prva tri mjeseca u istom razdoblju nije bilo isplata te vrste.</w:t>
      </w:r>
    </w:p>
    <w:p w14:paraId="0667A61B" w14:textId="77777777" w:rsidR="00DF31AD" w:rsidRDefault="00DF31AD"/>
    <w:p w14:paraId="515C0C62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3F6070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3FCBE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3E980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1C39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96DD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BAB5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A2A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6D66CD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AA569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89DEA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EDBB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00725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F0676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14.659,59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7A58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14:paraId="1BD4E907" w14:textId="77777777" w:rsidR="00DF31AD" w:rsidRDefault="00DF31AD">
      <w:pPr>
        <w:spacing w:after="0"/>
      </w:pPr>
    </w:p>
    <w:p w14:paraId="51FC76B3" w14:textId="77777777" w:rsidR="00DF31AD" w:rsidRDefault="00577387">
      <w:r>
        <w:t>Bilježi se povećanje zbog provedbe B1 aktivnosti u sklopu cjelodnevne škole.</w:t>
      </w:r>
    </w:p>
    <w:p w14:paraId="5D62A3F7" w14:textId="77777777" w:rsidR="00DF31AD" w:rsidRDefault="00DF31AD"/>
    <w:p w14:paraId="2C392CFF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58EE20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00C8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E55D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0D48E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71A30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46BA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35CD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5709A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D6635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6DCD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2F8ED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4674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9E335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E43B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874350" w14:textId="77777777" w:rsidR="00DF31AD" w:rsidRDefault="00DF31AD">
      <w:pPr>
        <w:spacing w:after="0"/>
      </w:pPr>
    </w:p>
    <w:p w14:paraId="0B2E2A89" w14:textId="77777777" w:rsidR="00DF31AD" w:rsidRDefault="00577387" w:rsidP="00623219">
      <w:pPr>
        <w:jc w:val="both"/>
      </w:pPr>
      <w:r>
        <w:t>Povećanje rashoda na kontu reprezentacija bilježi se zbog organizacije Dana otvorenih vrata na kojem se prezentirao program rada cjelodnevne škole.</w:t>
      </w:r>
    </w:p>
    <w:p w14:paraId="05226E6A" w14:textId="77777777" w:rsidR="00DF31AD" w:rsidRDefault="00DF31AD"/>
    <w:p w14:paraId="14F2852B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1675F5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B7FF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9DDB0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A551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E6CDB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2D4D1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B25C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60BB07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7BE4E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C9F76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E45A4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25AE7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13.223,95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61DD9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15.573,88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3C936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02244A55" w14:textId="77777777" w:rsidR="00DF31AD" w:rsidRDefault="00DF31AD">
      <w:pPr>
        <w:spacing w:after="0"/>
      </w:pPr>
    </w:p>
    <w:p w14:paraId="4544579A" w14:textId="77777777" w:rsidR="00DF31AD" w:rsidRDefault="00577387">
      <w:r>
        <w:t>Bilježi se povećanje rashoda za nastale troškove provedbe B1 programa u sklopu CDŠ-a.</w:t>
      </w:r>
    </w:p>
    <w:p w14:paraId="69E175AD" w14:textId="77777777" w:rsidR="00DF31AD" w:rsidRDefault="00DF31AD"/>
    <w:p w14:paraId="096C70AD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50FCA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B55DF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A0841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B80F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ED43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088E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15CA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0C318E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7FDEF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056C67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C7633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F40A4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FC3AD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26D23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314E69" w14:textId="77777777" w:rsidR="00DF31AD" w:rsidRDefault="00DF31AD">
      <w:pPr>
        <w:spacing w:after="0"/>
      </w:pPr>
    </w:p>
    <w:p w14:paraId="5299F1CD" w14:textId="77777777" w:rsidR="00DF31AD" w:rsidRDefault="00577387">
      <w:r>
        <w:t>Bilježi se povećanje zbog ugradnje videonadzora.</w:t>
      </w:r>
    </w:p>
    <w:p w14:paraId="76DE162B" w14:textId="77777777" w:rsidR="00DF31AD" w:rsidRDefault="00DF31AD"/>
    <w:p w14:paraId="41056183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10B27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ABC07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C1F6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E6BF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1CF7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18437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A065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1029DC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BACBD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EA7E7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C0935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A0A3F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8047A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0A44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0F37B83" w14:textId="77777777" w:rsidR="00DF31AD" w:rsidRDefault="00DF31AD">
      <w:pPr>
        <w:spacing w:after="0"/>
      </w:pPr>
    </w:p>
    <w:p w14:paraId="07D61886" w14:textId="150115EB" w:rsidR="00DF31AD" w:rsidRDefault="00577387" w:rsidP="00623219">
      <w:pPr>
        <w:jc w:val="both"/>
      </w:pPr>
      <w:r>
        <w:t>Bilježi se smanjenje jer u odnosu na isto razdoblje pro</w:t>
      </w:r>
      <w:r>
        <w:t>šle godine, ove godine se nije nabavljala sportska i glazbena oprema.</w:t>
      </w:r>
    </w:p>
    <w:p w14:paraId="3B778E8B" w14:textId="77777777" w:rsidR="00DF31AD" w:rsidRDefault="00DF31AD"/>
    <w:p w14:paraId="74A4375F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1C4EB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D1F4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236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86E1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391F7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37A0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C914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4A6908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5C3A5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F4159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AB3D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24E5E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55160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FB901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A852A20" w14:textId="77777777" w:rsidR="00DF31AD" w:rsidRDefault="00DF31AD">
      <w:pPr>
        <w:spacing w:after="0"/>
      </w:pPr>
    </w:p>
    <w:p w14:paraId="21ADEE6F" w14:textId="77777777" w:rsidR="00DF31AD" w:rsidRDefault="00577387" w:rsidP="00623219">
      <w:pPr>
        <w:jc w:val="both"/>
      </w:pPr>
      <w:r>
        <w:t>Bilježi se smanjenje rashoda zato jer u prva tri mjeseca ove godine nije bilo nabava trajnih udžbenika kao ni knjiga za školsku knjižnicu.</w:t>
      </w:r>
    </w:p>
    <w:p w14:paraId="28A0E5E0" w14:textId="77777777" w:rsidR="00DF31AD" w:rsidRDefault="00DF31AD"/>
    <w:p w14:paraId="3F9F9C24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F31AD" w14:paraId="72AD49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5DBC8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D652A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EF07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C213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3B504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43977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40758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C8537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F7734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CF934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12EB6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9.371,55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9C864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99.053,71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9A115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1057,0</w:t>
            </w:r>
          </w:p>
        </w:tc>
      </w:tr>
    </w:tbl>
    <w:p w14:paraId="78B2FC8D" w14:textId="77777777" w:rsidR="00DF31AD" w:rsidRDefault="00DF31AD">
      <w:pPr>
        <w:spacing w:after="0"/>
      </w:pPr>
    </w:p>
    <w:p w14:paraId="058FB2D3" w14:textId="77777777" w:rsidR="00DF31AD" w:rsidRDefault="00577387">
      <w:r>
        <w:t>Manjak prihoda - preneseni iznosi 99.053,71 EUR jer je ostvaren veći metodološki manjak u odnosu na isto razdoblje prošle godine.</w:t>
      </w:r>
    </w:p>
    <w:p w14:paraId="74CBF708" w14:textId="77777777" w:rsidR="00DF31AD" w:rsidRDefault="00DF31AD"/>
    <w:p w14:paraId="4FD0D874" w14:textId="77777777" w:rsidR="00DF31AD" w:rsidRDefault="0057738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A0CBF5F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F31AD" w14:paraId="2651F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6623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20B54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97666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FFB9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30C0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183A91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7C98C" w14:textId="77777777" w:rsidR="00DF31AD" w:rsidRDefault="00DF31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FBDB59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1. siječnja </w:t>
            </w:r>
            <w:r>
              <w:rPr>
                <w:sz w:val="18"/>
              </w:rPr>
              <w:t>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AB6DA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5BB02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113.276,30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4388F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DD7368" w14:textId="77777777" w:rsidR="00DF31AD" w:rsidRDefault="00DF31AD">
      <w:pPr>
        <w:spacing w:after="0"/>
      </w:pPr>
    </w:p>
    <w:p w14:paraId="5FA111E7" w14:textId="77777777" w:rsidR="00DF31AD" w:rsidRDefault="00577387" w:rsidP="00623219">
      <w:pPr>
        <w:jc w:val="both"/>
      </w:pPr>
      <w:r>
        <w:t>Na V001 prikazano je stanje obveza na početku izvještajnog razdoblja, odnosno s 31.12.2025. godine, a koje je iznosilo 113.276,30 EUR. Navedeni iznos odnosi se na račune koji su knjiženi zaključno s 31.12.2025. godine, a plaćeni su tijekom siječnja 2026. g</w:t>
      </w:r>
      <w:r>
        <w:t>odine te na plaću i materijalna prava zaposlenika za prosinac 2025. godine.</w:t>
      </w:r>
    </w:p>
    <w:p w14:paraId="4138C2CE" w14:textId="77777777" w:rsidR="00DF31AD" w:rsidRDefault="00DF31AD"/>
    <w:p w14:paraId="3996244A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F31AD" w14:paraId="34FB6D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B0159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FA4B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E3A0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5C216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3BD22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21A9A2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9C71B" w14:textId="77777777" w:rsidR="00DF31AD" w:rsidRDefault="00DF31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815D4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A1046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F3859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117.042,47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1B641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C315ED" w14:textId="77777777" w:rsidR="00DF31AD" w:rsidRDefault="00DF31AD">
      <w:pPr>
        <w:spacing w:after="0"/>
      </w:pPr>
    </w:p>
    <w:p w14:paraId="6E2CC4F1" w14:textId="77777777" w:rsidR="00DF31AD" w:rsidRDefault="00577387" w:rsidP="00623219">
      <w:pPr>
        <w:jc w:val="both"/>
      </w:pPr>
      <w:r>
        <w:t>U izvještaju o obvezama razvidno je da ukupne obveze na dan 30.06.2026. godine iznose 117.042,47 EUR što je prikazano na V006.</w:t>
      </w:r>
    </w:p>
    <w:p w14:paraId="468C32F5" w14:textId="77777777" w:rsidR="00DF31AD" w:rsidRDefault="00577387" w:rsidP="00623219">
      <w:pPr>
        <w:jc w:val="both"/>
      </w:pPr>
      <w:r>
        <w:t xml:space="preserve">Od toga se iznos od 115.300,22 EUR odnosi na obveze za rashode poslovanja, iznos od 45,25 EUR na obveze za predujmove, jamčevine </w:t>
      </w:r>
      <w:r>
        <w:t>i depozite dok na dan 30.06.2026. obveze za nabavu nefinancijske imovine iznose 1.697,00 EUR.</w:t>
      </w:r>
    </w:p>
    <w:p w14:paraId="0B8BBFF1" w14:textId="77777777" w:rsidR="00DF31AD" w:rsidRDefault="00DF31AD"/>
    <w:p w14:paraId="0B4F395A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F31AD" w14:paraId="5F3917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7D908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DEF9C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DF623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8549D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2D1D8" w14:textId="77777777" w:rsidR="00DF31AD" w:rsidRDefault="005773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31AD" w14:paraId="2D4081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69086" w14:textId="77777777" w:rsidR="00DF31AD" w:rsidRDefault="00DF31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F3207A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</w:t>
            </w:r>
            <w:r>
              <w:rPr>
                <w:sz w:val="18"/>
              </w:rPr>
              <w:t>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199D8" w14:textId="77777777" w:rsidR="00DF31AD" w:rsidRDefault="005773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7F624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ABAE3" w14:textId="77777777" w:rsidR="00DF31AD" w:rsidRDefault="005773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B09486" w14:textId="77777777" w:rsidR="00DF31AD" w:rsidRDefault="00DF31AD">
      <w:pPr>
        <w:spacing w:after="0"/>
      </w:pPr>
    </w:p>
    <w:p w14:paraId="773E9F2F" w14:textId="77777777" w:rsidR="00DF31AD" w:rsidRDefault="00577387">
      <w:r>
        <w:t xml:space="preserve">U izvještajnom razdoblju OŠ Koprivnički </w:t>
      </w:r>
      <w:proofErr w:type="spellStart"/>
      <w:r>
        <w:t>Bregi</w:t>
      </w:r>
      <w:proofErr w:type="spellEnd"/>
      <w:r>
        <w:t xml:space="preserve"> je podmirivala sve preuzete obveze. Slijedom navedenog, na dan 30.06.2026. godine stanje dospjelih obveza iznosi 0,00 EUR.</w:t>
      </w:r>
    </w:p>
    <w:p w14:paraId="386DCB5B" w14:textId="77777777" w:rsidR="00DF31AD" w:rsidRDefault="00DF31AD"/>
    <w:p w14:paraId="671F3082" w14:textId="77777777" w:rsidR="00DF31AD" w:rsidRDefault="00577387">
      <w:pPr>
        <w:keepNext/>
        <w:spacing w:line="240" w:lineRule="auto"/>
        <w:jc w:val="center"/>
      </w:pPr>
      <w:r>
        <w:rPr>
          <w:sz w:val="28"/>
        </w:rPr>
        <w:t>Bilješka 19.</w:t>
      </w:r>
    </w:p>
    <w:p w14:paraId="3294CBE3" w14:textId="77777777" w:rsidR="00DF31AD" w:rsidRDefault="00577387">
      <w:pPr>
        <w:spacing w:line="240" w:lineRule="auto"/>
        <w:jc w:val="both"/>
      </w:pPr>
      <w:r>
        <w:rPr>
          <w:b/>
        </w:rPr>
        <w:t>EU izvještaj</w:t>
      </w:r>
    </w:p>
    <w:p w14:paraId="115E8315" w14:textId="77777777" w:rsidR="00DF31AD" w:rsidRDefault="00577387">
      <w:r>
        <w:t>1.Prihodi i primici vezani uz EU sredstva</w:t>
      </w:r>
    </w:p>
    <w:p w14:paraId="71D77845" w14:textId="77777777" w:rsidR="00DF31AD" w:rsidRDefault="00577387" w:rsidP="00623219">
      <w:pPr>
        <w:jc w:val="both"/>
      </w:pPr>
      <w:r>
        <w:t>U izvještajnom razdoblju Škola je ostvarila prihode povezane s provedbom aktivnosti financiranih sredstvima Europske unije u ukupnom iznosu 16.931,71 od  EUR.</w:t>
      </w:r>
      <w:r>
        <w:br/>
        <w:t>Ostvareni prihodi evidentirani su na kontu 6393 – Tekuć</w:t>
      </w:r>
      <w:r>
        <w:t>i prijenosi između proračunskih korisnika istog proračuna temeljem prijenosa EU sredstava, a odnose se na sredstva doznačena putem nadležnog proračuna za provedbu EU projekata Prilika za sve 7 i Školska shema.</w:t>
      </w:r>
    </w:p>
    <w:p w14:paraId="722DDF62" w14:textId="77777777" w:rsidR="00DF31AD" w:rsidRDefault="00577387">
      <w:r>
        <w:t>2. Rashodi i izdaci</w:t>
      </w:r>
    </w:p>
    <w:p w14:paraId="64DF973A" w14:textId="77777777" w:rsidR="00DF31AD" w:rsidRDefault="00577387" w:rsidP="00623219">
      <w:pPr>
        <w:jc w:val="both"/>
      </w:pPr>
      <w:r>
        <w:t xml:space="preserve">Ukupni rashodi povezani s </w:t>
      </w:r>
      <w:r>
        <w:t>provedbom EU aktivnosti u izvještajnom razdoblju iznose 16.670,61 EUR. Od toga rashodi za zaposlene iznose 14.146,40  EUR dok materijalni rashodi iznose 2.524,24  EUR.</w:t>
      </w:r>
    </w:p>
    <w:p w14:paraId="70B98A2C" w14:textId="77777777" w:rsidR="00DF31AD" w:rsidRDefault="00577387">
      <w:r>
        <w:t> </w:t>
      </w:r>
    </w:p>
    <w:p w14:paraId="18F6AEBA" w14:textId="77777777" w:rsidR="00DF31AD" w:rsidRDefault="00577387">
      <w:r>
        <w:t>Izvor 561 – Europski socijalni fond plus (ESF+)</w:t>
      </w:r>
    </w:p>
    <w:p w14:paraId="4A99C90C" w14:textId="77777777" w:rsidR="00DF31AD" w:rsidRDefault="00577387">
      <w:r>
        <w:t>1. Prihodi i primici</w:t>
      </w:r>
    </w:p>
    <w:p w14:paraId="08C2A309" w14:textId="77777777" w:rsidR="00DF31AD" w:rsidRDefault="00577387" w:rsidP="00623219">
      <w:pPr>
        <w:jc w:val="both"/>
      </w:pPr>
      <w:r>
        <w:t>U izvještajnom ra</w:t>
      </w:r>
      <w:r>
        <w:t>zdoblju Škola je ostvarila prihode vezane uz izvor financiranja 561 – Europski socijalni fond plus u ukupnom iznosu od 15.298,71 EUR za provedbu projekta Prilika za sve 7, uključujući plaće, materijalna prava te naknadu za prijevoz pomoćnika u nastavi. Ost</w:t>
      </w:r>
      <w:r>
        <w:t xml:space="preserve">vareni </w:t>
      </w:r>
      <w:r>
        <w:lastRenderedPageBreak/>
        <w:t>prihodi evidentirani su na kontu 6393 – Tekući prijenosi između proračunskih korisnika istog proračuna temeljem prijenosa EU sredstava, a odnose se na sredstva doznačena putem nadležnog proračuna za provedbu aktivnosti financiranih iz ESF+.</w:t>
      </w:r>
    </w:p>
    <w:p w14:paraId="2DF5434C" w14:textId="77777777" w:rsidR="00DF31AD" w:rsidRDefault="00577387">
      <w:r>
        <w:t>2. Rasho</w:t>
      </w:r>
      <w:r>
        <w:t>di i izdaci</w:t>
      </w:r>
    </w:p>
    <w:p w14:paraId="352388D6" w14:textId="77777777" w:rsidR="00DF31AD" w:rsidRDefault="00577387" w:rsidP="00623219">
      <w:pPr>
        <w:jc w:val="both"/>
      </w:pPr>
      <w:r>
        <w:t>Ukupni rashodi financirani iz izvora 561 u izvještajnom razdoblju iznose 15.137,81 EUR. Rashodi za zaposlene iznose 14.146,40 EUR dok materijalni rashodi iznose 991,41 EUR.</w:t>
      </w:r>
    </w:p>
    <w:p w14:paraId="2F45457F" w14:textId="77777777" w:rsidR="00DF31AD" w:rsidRDefault="00577387">
      <w:r>
        <w:t> </w:t>
      </w:r>
    </w:p>
    <w:p w14:paraId="0F87E51E" w14:textId="77777777" w:rsidR="00DF31AD" w:rsidRDefault="00577387">
      <w:r>
        <w:t>Izvor 565 – Europski poljoprivredni fond za ruralni razvoj (EPFRR)</w:t>
      </w:r>
    </w:p>
    <w:p w14:paraId="6B6D6A6A" w14:textId="77777777" w:rsidR="00DF31AD" w:rsidRDefault="00577387">
      <w:r>
        <w:t>1. Prihodi i primici</w:t>
      </w:r>
    </w:p>
    <w:p w14:paraId="5F985F63" w14:textId="77777777" w:rsidR="00DF31AD" w:rsidRDefault="00577387" w:rsidP="00623219">
      <w:pPr>
        <w:jc w:val="both"/>
      </w:pPr>
      <w:r>
        <w:t>U izvještajnom razdoblju Škola je ostvarila prihode iz izvora 565 – Europski poljoprivredni fond za ruralni razvoj u ukupnom iznosu od 1.633,00 EUR, u sklopu projekta Š</w:t>
      </w:r>
      <w:r>
        <w:t>kolska shema za nabavu namirnica (mlijeka i voća) za učenike škole. Ostvareni prihodi evidentirani su na kontu 6393 – Tekući prijenosi između proračunskih korisnika istog proračuna.</w:t>
      </w:r>
    </w:p>
    <w:p w14:paraId="739054F8" w14:textId="77777777" w:rsidR="00DF31AD" w:rsidRDefault="00577387">
      <w:r>
        <w:t>2. Rashodi i izdaci</w:t>
      </w:r>
    </w:p>
    <w:p w14:paraId="03189F8A" w14:textId="77777777" w:rsidR="00DF31AD" w:rsidRDefault="00577387" w:rsidP="00623219">
      <w:pPr>
        <w:jc w:val="both"/>
      </w:pPr>
      <w:r>
        <w:t>Ukupni rashodi iz ovog izvora iznose 1.532,80 EUR i od</w:t>
      </w:r>
      <w:r>
        <w:t>nose se isključivo na materijalne rashode: Rashodi za materijal i sirovine (konto 3222): 1.532,80 EUR</w:t>
      </w:r>
    </w:p>
    <w:p w14:paraId="62AD24E8" w14:textId="77777777" w:rsidR="00DF31AD" w:rsidRDefault="00577387">
      <w:r>
        <w:t> </w:t>
      </w:r>
    </w:p>
    <w:p w14:paraId="276DC5D5" w14:textId="77777777" w:rsidR="00DF31AD" w:rsidRDefault="00577387">
      <w:r>
        <w:t> </w:t>
      </w:r>
    </w:p>
    <w:p w14:paraId="394B35ED" w14:textId="77777777" w:rsidR="00DF31AD" w:rsidRDefault="00577387">
      <w:r>
        <w:t> </w:t>
      </w:r>
    </w:p>
    <w:p w14:paraId="30BBA261" w14:textId="7F176534" w:rsidR="00DF31AD" w:rsidRDefault="00DF31AD"/>
    <w:p w14:paraId="2951422D" w14:textId="77777777" w:rsidR="00DF31AD" w:rsidRDefault="00577387">
      <w:r>
        <w:t> </w:t>
      </w:r>
    </w:p>
    <w:p w14:paraId="2D647125" w14:textId="77777777" w:rsidR="00DF31AD" w:rsidRDefault="00DF31AD"/>
    <w:sectPr w:rsidR="00DF3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AD"/>
    <w:rsid w:val="00577387"/>
    <w:rsid w:val="00623219"/>
    <w:rsid w:val="00AF7A27"/>
    <w:rsid w:val="00D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5AC7"/>
  <w15:docId w15:val="{DB1FF4C7-230C-47DA-9C5A-58F75FF1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1759</Words>
  <Characters>10030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Prvcic</cp:lastModifiedBy>
  <cp:revision>5</cp:revision>
  <dcterms:created xsi:type="dcterms:W3CDTF">2026-07-09T08:23:00Z</dcterms:created>
  <dcterms:modified xsi:type="dcterms:W3CDTF">2026-07-09T08:25:00Z</dcterms:modified>
</cp:coreProperties>
</file>