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446E4A" w14:paraId="1F850F60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A2D5D47" w14:textId="77777777" w:rsidR="00446E4A" w:rsidRDefault="00092D3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960540C" w14:textId="77777777" w:rsidR="00446E4A" w:rsidRDefault="00092D36">
            <w:pPr>
              <w:spacing w:after="0" w:line="240" w:lineRule="auto"/>
            </w:pPr>
            <w:r>
              <w:t>22937</w:t>
            </w:r>
          </w:p>
        </w:tc>
      </w:tr>
      <w:tr w:rsidR="00446E4A" w14:paraId="0C0FBE0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EABA67F" w14:textId="77777777" w:rsidR="00446E4A" w:rsidRDefault="00092D3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2A1F4110" w14:textId="77777777" w:rsidR="00446E4A" w:rsidRDefault="00092D36">
            <w:pPr>
              <w:spacing w:after="0" w:line="240" w:lineRule="auto"/>
            </w:pPr>
            <w:r>
              <w:t>OSNOVNA ŠKOLA KOPRIVNIČKI BREGI</w:t>
            </w:r>
          </w:p>
        </w:tc>
      </w:tr>
      <w:tr w:rsidR="00446E4A" w14:paraId="6397DFEE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52F9193C" w14:textId="77777777" w:rsidR="00446E4A" w:rsidRDefault="00092D3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949E9B7" w14:textId="77777777" w:rsidR="00446E4A" w:rsidRDefault="00092D36">
            <w:pPr>
              <w:spacing w:after="0" w:line="240" w:lineRule="auto"/>
            </w:pPr>
            <w:r>
              <w:t>31</w:t>
            </w:r>
          </w:p>
        </w:tc>
      </w:tr>
    </w:tbl>
    <w:p w14:paraId="54768E1E" w14:textId="77777777" w:rsidR="00446E4A" w:rsidRDefault="00092D36">
      <w:r>
        <w:br/>
      </w:r>
    </w:p>
    <w:p w14:paraId="6336FAE0" w14:textId="77777777" w:rsidR="00446E4A" w:rsidRDefault="00092D3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4F434561" w14:textId="77777777" w:rsidR="00446E4A" w:rsidRDefault="00092D3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2C98A8E" w14:textId="77777777" w:rsidR="00446E4A" w:rsidRDefault="00092D36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68D54E23" w14:textId="77777777" w:rsidR="00446E4A" w:rsidRDefault="00446E4A"/>
    <w:p w14:paraId="5A238BC6" w14:textId="77777777" w:rsidR="00446E4A" w:rsidRDefault="00092D3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0B61CD3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427F30E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7C81BB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898375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84CC88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A783FA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7EF059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D78111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453D715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83216C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A60579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2CD99B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A509AB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1.600.790,05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70B05A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1.440.710,37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2A2E42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90,0</w:t>
            </w:r>
          </w:p>
        </w:tc>
      </w:tr>
      <w:tr w:rsidR="00446E4A" w14:paraId="4D15519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225DE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BE39AE0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B96C6D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815E65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1.281.334,60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0F4FDC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1.506.954,63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779ED7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117,6</w:t>
            </w:r>
          </w:p>
        </w:tc>
      </w:tr>
      <w:tr w:rsidR="00446E4A" w14:paraId="685CD9A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E792CD" w14:textId="77777777" w:rsidR="00446E4A" w:rsidRDefault="00446E4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FF79BDC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233B83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AEDC58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47E7F3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66.244,26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9A0FCC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46E4A" w14:paraId="25855E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15CB21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1EA26E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4A2FF4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1E5CE2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DE419C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87F316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46E4A" w14:paraId="37652B6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8DB17F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EDF13C7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068D71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6CDADB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349.707,62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14BCE1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23.437,90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9EDBDB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6,7</w:t>
            </w:r>
          </w:p>
        </w:tc>
      </w:tr>
      <w:tr w:rsidR="00446E4A" w14:paraId="070A18E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3F4698" w14:textId="77777777" w:rsidR="00446E4A" w:rsidRDefault="00446E4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83FAD3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3A670A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FC42B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349.707,62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65A826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23.437,90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F07D77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6,7</w:t>
            </w:r>
          </w:p>
        </w:tc>
      </w:tr>
      <w:tr w:rsidR="00446E4A" w14:paraId="2FE102E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69DACA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CFB49CD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4B362F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6A7473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0255A3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9C43C7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46E4A" w14:paraId="592DE66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96169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25ADEE6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25EAA8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80559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20AC3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C3B61A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446E4A" w14:paraId="680A042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EDBB7D" w14:textId="77777777" w:rsidR="00446E4A" w:rsidRDefault="00446E4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B3E86B9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C338A8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614984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4E278B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4FCA20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446E4A" w14:paraId="5EDECA8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4EB797" w14:textId="77777777" w:rsidR="00446E4A" w:rsidRDefault="00446E4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DE6111E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2B9000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40439D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30.252,17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6EC24A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89.682,16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206C13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296,4</w:t>
            </w:r>
          </w:p>
        </w:tc>
      </w:tr>
    </w:tbl>
    <w:p w14:paraId="240D5F29" w14:textId="77777777" w:rsidR="00446E4A" w:rsidRDefault="00446E4A">
      <w:pPr>
        <w:spacing w:after="0"/>
      </w:pPr>
    </w:p>
    <w:p w14:paraId="30087CDD" w14:textId="77777777" w:rsidR="00446E4A" w:rsidRDefault="00092D36">
      <w:r>
        <w:t> </w:t>
      </w:r>
    </w:p>
    <w:p w14:paraId="50AB0360" w14:textId="77777777" w:rsidR="00446E4A" w:rsidRDefault="00092D36">
      <w:pPr>
        <w:jc w:val="both"/>
      </w:pPr>
      <w:r>
        <w:t>U razdoblju od 1. siječnja do 31. prosinca 2025. godine ostvareni su prihodi poslovanja u iznosu od 1.440.710,37 EUR. Najznačajnije povećanje prihoda ostvareno je na tekućim pomoćima proračunskim korisnicima iz proračuna koji im nije nadležan uslijed poveć</w:t>
      </w:r>
      <w:r>
        <w:t xml:space="preserve">anja plaća te ulaska škole u eksperimentalni projekt cjelodnevne nastave. Najznačajnije smanjenje prihoda poslovanja bilježi se na kapitalnim pomoćima proračunskim korisnicima iz proračuna koji im </w:t>
      </w:r>
      <w:r>
        <w:lastRenderedPageBreak/>
        <w:t>nije nadležan, jer je prošle godine u navedenom razdoblju o</w:t>
      </w:r>
      <w:r>
        <w:t>stvaren prihod od strane nadležnog ministarstva za  adaptaciju unutarnjeg prostora škole kao i za opremu koja je neophodno potrebna za izvođenje eksperimentalnog programa cjelodnevne škole. Rashodi poslovanja u razdoblju od 1. siječnja do 31. prosinca 2025</w:t>
      </w:r>
      <w:r>
        <w:t>. godine ostvareni su u iznosu od 1.506.954,63 EUR. Najznačajnije povećanje rashoda evidentirano je na rashodima za zaposlene uslijed povećanja plaća. Najznačajnije smanjenje rashoda poslovanja bilježi se na rashodima za materijal i energiju zbog manje nab</w:t>
      </w:r>
      <w:r>
        <w:t>avljenog sitnog inventara u odnosu na isto razdoblje prošle godine. U navedenom razdoblju nema ostvarenih prihoda od prodaje nefinancijske imovine dok su rashodi za nabavu nefinancijske imovine ostvareni u iznosu od 23.437,90 EUR. Navedeni rashodi odnose s</w:t>
      </w:r>
      <w:r>
        <w:t>e na nabavu uredske opreme i namještaja, sportske i glazbene opreme, uređaja, strojeva i opreme za ostale namjene te nabavu knjiga. U navedenom razdoblju nije bilo ostvarenih primitaka i izdataka od financijske imovine i zaduživanja. U razdoblju od 1. sije</w:t>
      </w:r>
      <w:r>
        <w:t>čnja do 31. prosinca 2025. godine ostvaren je manjak prihoda poslovanja u iznosu od 66.244,26 EUR, manjak prihoda od nefinancijske imovine u iznosu od 23.437,90 EUR, slijedom čega je na kraju izvještajnog razdoblja ostvaren ukupan manjak prihoda i primitak</w:t>
      </w:r>
      <w:r>
        <w:t>a u iznosu od 89.682,16 EUR.</w:t>
      </w:r>
    </w:p>
    <w:p w14:paraId="4BAD5297" w14:textId="77777777" w:rsidR="00446E4A" w:rsidRDefault="00092D36">
      <w:r>
        <w:br/>
      </w:r>
    </w:p>
    <w:p w14:paraId="53464717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1ADC5BA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222E32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53232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7A991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B0EDD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FA0A2CC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926292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69375DF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B3C1C6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1D88B2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proračunskim korisnicima iz </w:t>
            </w:r>
            <w:r>
              <w:rPr>
                <w:sz w:val="18"/>
              </w:rPr>
              <w:t>proračuna koji im nije 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11DE3F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87D89A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318.366,96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8D4AE2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7EB01E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0,3</w:t>
            </w:r>
          </w:p>
        </w:tc>
      </w:tr>
    </w:tbl>
    <w:p w14:paraId="0C1BC7E3" w14:textId="77777777" w:rsidR="00446E4A" w:rsidRDefault="00446E4A">
      <w:pPr>
        <w:spacing w:after="0"/>
      </w:pPr>
    </w:p>
    <w:p w14:paraId="20D00112" w14:textId="77777777" w:rsidR="00446E4A" w:rsidRDefault="00092D36" w:rsidP="00F534EB">
      <w:pPr>
        <w:jc w:val="both"/>
      </w:pPr>
      <w:r>
        <w:t>Smanjenje prihoda poslovanja bilježi se na kapitalnim pomoćima proračunskim korisnicima iz proračuna koji im nije nadležan, jer je prošle godine u navedenom razdoblju ostvaren prihod od strane nadležnog ministarstva za adaptaciju unutarnjeg prostora matičn</w:t>
      </w:r>
      <w:r>
        <w:t>e i područne škole kao i za opremu koja je neophodno potrebna za izvođenje eksperimentalnog programa cjelodnevne škole.</w:t>
      </w:r>
    </w:p>
    <w:p w14:paraId="66C5CC74" w14:textId="77777777" w:rsidR="00446E4A" w:rsidRDefault="00446E4A"/>
    <w:p w14:paraId="4D4171D4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3315C4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B8BD3C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0A43A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E92176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B55DEB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8E0E718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</w:t>
            </w:r>
            <w:r>
              <w:rPr>
                <w:b/>
                <w:sz w:val="18"/>
              </w:rPr>
              <w:t>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0E851E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3F64E5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1CDB4A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159C59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1BBC7B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1A6C5D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17.658,45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ABBEFAC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32.986,62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662B1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186,8</w:t>
            </w:r>
          </w:p>
        </w:tc>
      </w:tr>
    </w:tbl>
    <w:p w14:paraId="1CC68C51" w14:textId="77777777" w:rsidR="00446E4A" w:rsidRDefault="00446E4A">
      <w:pPr>
        <w:spacing w:after="0"/>
      </w:pPr>
    </w:p>
    <w:p w14:paraId="0801C736" w14:textId="77777777" w:rsidR="00446E4A" w:rsidRDefault="00092D36">
      <w:r>
        <w:t>Bilježi se povećanje prihoda za plaće pomoćnika u nastavi zbog povećanja bruto satnice te jednog pomoćnika u nastavi više u odnosu na isto razdoblje prošle godine. </w:t>
      </w:r>
    </w:p>
    <w:p w14:paraId="4744168B" w14:textId="77777777" w:rsidR="00446E4A" w:rsidRDefault="00446E4A"/>
    <w:p w14:paraId="1A21A79E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lastRenderedPageBreak/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5B064C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281910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564B49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930C81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539AAA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</w:t>
            </w:r>
            <w:r>
              <w:rPr>
                <w:b/>
                <w:sz w:val="18"/>
              </w:rPr>
              <w:t>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1318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B572E9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1C4E329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FE8FE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8A0C80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0E5521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E4A987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89860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4.120,89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0A9049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358,3</w:t>
            </w:r>
          </w:p>
        </w:tc>
      </w:tr>
    </w:tbl>
    <w:p w14:paraId="7EF68351" w14:textId="77777777" w:rsidR="00446E4A" w:rsidRDefault="00446E4A">
      <w:pPr>
        <w:spacing w:after="0"/>
      </w:pPr>
    </w:p>
    <w:p w14:paraId="5218C5CB" w14:textId="77777777" w:rsidR="00446E4A" w:rsidRDefault="00092D36" w:rsidP="00F534EB">
      <w:pPr>
        <w:jc w:val="both"/>
      </w:pPr>
      <w:r>
        <w:t xml:space="preserve">Bilježi se povećanje prihoda uslijed donacije grupe mještana općine Koprivnički </w:t>
      </w:r>
      <w:proofErr w:type="spellStart"/>
      <w:r>
        <w:t>Bregi</w:t>
      </w:r>
      <w:proofErr w:type="spellEnd"/>
      <w:r>
        <w:t xml:space="preserve"> materijala za izradu vanjske ograde u dvorištu matične škole te donacije za osvojeno 1. mjesto učenika naše škole na natječaju na temu gospodarenja otpadom.</w:t>
      </w:r>
    </w:p>
    <w:p w14:paraId="1B68D0E5" w14:textId="77777777" w:rsidR="00446E4A" w:rsidRDefault="00446E4A"/>
    <w:p w14:paraId="1F2293FF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289A10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9456F6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D8CD1F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41E91D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98E8FC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2ED129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1ABB8D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3E76CD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698367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E2CFDA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4C91F8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88C4A4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18.079,62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EC907C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36.633,82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6FB4C6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202,6</w:t>
            </w:r>
          </w:p>
        </w:tc>
      </w:tr>
    </w:tbl>
    <w:p w14:paraId="6EBA2CDD" w14:textId="77777777" w:rsidR="00446E4A" w:rsidRDefault="00446E4A">
      <w:pPr>
        <w:spacing w:after="0"/>
      </w:pPr>
    </w:p>
    <w:p w14:paraId="775802A8" w14:textId="77777777" w:rsidR="00446E4A" w:rsidRDefault="00092D36" w:rsidP="00F534EB">
      <w:pPr>
        <w:jc w:val="both"/>
      </w:pPr>
      <w:r>
        <w:t>Bilježi se povećanje uslijed više primljenih sredstava od strane osnivača škole za nabavu uredske opreme i namještaja u odnosu na isto razdoblje prošle godine kao i prihod za plaćanje dospjelih obveza. Dospjele obveze odnose se na neplaćene račune za izvođ</w:t>
      </w:r>
      <w:r>
        <w:t>enje građevinskih radova za provedbu CDŠ-a iz razloga što izvođač radova nije završio radove u predviđenom roku, a školi je ispostavio račune sa dospijećem u 12.mj. 2024. godine. Stoga su se  dospjele obveze podmirile u onom trenutku kada su radovi bili ko</w:t>
      </w:r>
      <w:r>
        <w:t>mpletno završeni, a osnivač škole Koprivničko-križevačka županija je odobrila plaćanje računa s obzirom da je taj iznos osigurala županija iz vlastitih sredstava.</w:t>
      </w:r>
    </w:p>
    <w:p w14:paraId="066AE849" w14:textId="77777777" w:rsidR="00446E4A" w:rsidRDefault="00446E4A"/>
    <w:p w14:paraId="4E5DF8BC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78F9AF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C1154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D16C7F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3C520D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2497C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</w:t>
            </w:r>
            <w:r>
              <w:rPr>
                <w:b/>
                <w:sz w:val="18"/>
              </w:rPr>
              <w:t>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DEE1EB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8DB231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41E29D2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4A02B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1146E6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99EA7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A82FE1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842.580,38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41AD75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1.048.415,77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A83414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124,4</w:t>
            </w:r>
          </w:p>
        </w:tc>
      </w:tr>
    </w:tbl>
    <w:p w14:paraId="2DB4FD93" w14:textId="77777777" w:rsidR="00446E4A" w:rsidRDefault="00446E4A">
      <w:pPr>
        <w:spacing w:after="0"/>
      </w:pPr>
    </w:p>
    <w:p w14:paraId="1370C0A7" w14:textId="7E303E8E" w:rsidR="00446E4A" w:rsidRDefault="00092D36" w:rsidP="00F534EB">
      <w:pPr>
        <w:jc w:val="both"/>
      </w:pPr>
      <w:r>
        <w:t>Rashodi za plaće za redovan rad rast indeksa zbog nove Uredbe o nazivima radnih mjesta, uvjetima za raspored i koeficijentima za obračun plaće u javnim službama kojom se plaća povećala svim zaposlenicima škole</w:t>
      </w:r>
      <w:r>
        <w:t>.</w:t>
      </w:r>
    </w:p>
    <w:p w14:paraId="679B8EBF" w14:textId="77777777" w:rsidR="00446E4A" w:rsidRDefault="00446E4A"/>
    <w:p w14:paraId="55C02B8C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lastRenderedPageBreak/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6389A81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5384DB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CAE15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4F4461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FF1488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37056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B95F4B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56664C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0297A2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7FDF72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ABD7BB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7FE710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137.613,69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D0519D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167.020,65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D7D72A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14:paraId="2D7EDC31" w14:textId="77777777" w:rsidR="00446E4A" w:rsidRDefault="00446E4A">
      <w:pPr>
        <w:spacing w:after="0"/>
      </w:pPr>
    </w:p>
    <w:p w14:paraId="76D21A1D" w14:textId="77777777" w:rsidR="00446E4A" w:rsidRDefault="00092D36" w:rsidP="00F534EB">
      <w:pPr>
        <w:jc w:val="both"/>
      </w:pPr>
      <w:r>
        <w:t>Doprinosi za obvezno zdravstveno osiguranje bilježe povećanje zbog nove Uredbe o nazivima radnih mjesta, uvjetima za raspored i koeficijentima za obračun plaće u javnim službama kojom se plaća povećala svim zaposlenicima škole.</w:t>
      </w:r>
    </w:p>
    <w:p w14:paraId="7540D453" w14:textId="77777777" w:rsidR="00446E4A" w:rsidRDefault="00446E4A"/>
    <w:p w14:paraId="531E75DA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2A26107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9C1638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</w:t>
            </w:r>
            <w:r>
              <w:rPr>
                <w:b/>
                <w:sz w:val="18"/>
              </w:rPr>
              <w:t>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0D3D02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A475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F0D94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7892C0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A29B20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78E4956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535A8A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C50C6A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Sitni inventar i </w:t>
            </w:r>
            <w:proofErr w:type="spellStart"/>
            <w:r>
              <w:rPr>
                <w:sz w:val="18"/>
              </w:rPr>
              <w:t>autogume</w:t>
            </w:r>
            <w:proofErr w:type="spellEnd"/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7A25C3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0768DA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36.456,07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4E6A2E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1.796,14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4C51A2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4,9</w:t>
            </w:r>
          </w:p>
        </w:tc>
      </w:tr>
    </w:tbl>
    <w:p w14:paraId="7444A3A6" w14:textId="77777777" w:rsidR="00446E4A" w:rsidRDefault="00446E4A">
      <w:pPr>
        <w:spacing w:after="0"/>
      </w:pPr>
    </w:p>
    <w:p w14:paraId="084714AA" w14:textId="77777777" w:rsidR="00446E4A" w:rsidRDefault="00092D36" w:rsidP="00F534EB">
      <w:pPr>
        <w:jc w:val="both"/>
      </w:pPr>
      <w:r>
        <w:t xml:space="preserve">Smanjenje rashoda poslovanja na kontu sitnog inventara i </w:t>
      </w:r>
      <w:proofErr w:type="spellStart"/>
      <w:r>
        <w:t>autoguma</w:t>
      </w:r>
      <w:proofErr w:type="spellEnd"/>
      <w:r>
        <w:t xml:space="preserve"> bilježi se zbog manje nabavljenog sitnog inventara u odnosu na isto razdoblje prošle godine.</w:t>
      </w:r>
    </w:p>
    <w:p w14:paraId="29F06CE4" w14:textId="77777777" w:rsidR="00446E4A" w:rsidRDefault="00446E4A"/>
    <w:p w14:paraId="078E23F9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5A0568D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06C352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802602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3F196F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BF70B9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</w:t>
            </w:r>
            <w:r>
              <w:rPr>
                <w:b/>
                <w:sz w:val="18"/>
              </w:rPr>
              <w:t>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421EE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A67C90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07BC829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93F9B7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DFB3C0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FFB785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306360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7.801,43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612F98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16.838,50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6BAC44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215,8</w:t>
            </w:r>
          </w:p>
        </w:tc>
      </w:tr>
    </w:tbl>
    <w:p w14:paraId="65E9FB05" w14:textId="77777777" w:rsidR="00446E4A" w:rsidRDefault="00446E4A">
      <w:pPr>
        <w:spacing w:after="0"/>
      </w:pPr>
    </w:p>
    <w:p w14:paraId="5C4FE2CE" w14:textId="77777777" w:rsidR="00446E4A" w:rsidRDefault="00092D36">
      <w:r>
        <w:t>Povećanje rashoda poslovanja na kontu ostale usluge bilježi se zbog provedbe B2 aktivnosti u sklopu cjelodnevne škole u odnosu na isto razdoblje prošle godine.</w:t>
      </w:r>
    </w:p>
    <w:p w14:paraId="7FBCD991" w14:textId="77777777" w:rsidR="00446E4A" w:rsidRDefault="00446E4A"/>
    <w:p w14:paraId="0AF37CA0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7E4130C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0BDCC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E1360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BA22AB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D0B6F6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</w:t>
            </w:r>
            <w:r>
              <w:rPr>
                <w:b/>
                <w:sz w:val="18"/>
              </w:rPr>
              <w:t xml:space="preserve">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07E817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5F8369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68B0580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FA2AA0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942033C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82D6BC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74BE24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82,83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AF4EBC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3.750,05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6C4C1A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4527,4</w:t>
            </w:r>
          </w:p>
        </w:tc>
      </w:tr>
    </w:tbl>
    <w:p w14:paraId="502F36C0" w14:textId="77777777" w:rsidR="00446E4A" w:rsidRDefault="00446E4A">
      <w:pPr>
        <w:spacing w:after="0"/>
      </w:pPr>
    </w:p>
    <w:p w14:paraId="3E5454E4" w14:textId="77777777" w:rsidR="00446E4A" w:rsidRDefault="00092D36">
      <w:r>
        <w:t>Povećanje rashoda na kontu reprezentacija bilježi se zbog ugošćivanja škola CDŠ partnerica dok u istom razdoblju prošle godine nije bilo posjeta.</w:t>
      </w:r>
    </w:p>
    <w:p w14:paraId="4449934F" w14:textId="77777777" w:rsidR="00446E4A" w:rsidRDefault="00446E4A"/>
    <w:p w14:paraId="55A5076D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lastRenderedPageBreak/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279477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AD69C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A7FBBC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7125B4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DC02C08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65E6E1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571385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0834291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B003AF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C8A173B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- nenaplaćeni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A1749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04C3817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710ABC3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103.130,13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A36C7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5465,7</w:t>
            </w:r>
          </w:p>
        </w:tc>
      </w:tr>
    </w:tbl>
    <w:p w14:paraId="5419250E" w14:textId="77777777" w:rsidR="00446E4A" w:rsidRDefault="00446E4A">
      <w:pPr>
        <w:spacing w:after="0"/>
      </w:pPr>
    </w:p>
    <w:p w14:paraId="63AF71C9" w14:textId="77777777" w:rsidR="00446E4A" w:rsidRDefault="00092D36">
      <w:r>
        <w:t xml:space="preserve">Obračunati prihodi poslovanja – nenaplaćeni imaju rast indeksa »100 jer smo prema novom Pravilniku o proračunskom računovodstvu i računskom planu morali knjižiti potraživanja i obračunate prihode za plaću i materijalna prava što nije bio slučaj prethodnih </w:t>
      </w:r>
      <w:r>
        <w:t>godina.</w:t>
      </w:r>
    </w:p>
    <w:p w14:paraId="5CAD14D8" w14:textId="77777777" w:rsidR="00446E4A" w:rsidRDefault="00446E4A"/>
    <w:p w14:paraId="770580BA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3242DE4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284CBE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14E187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1CBCFA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8AA0DC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49C9D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D07C72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35C56F7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555055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5F7BC39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Uredska oprema i namještaj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CAD66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9501F7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74.873,13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792763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18.508,02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8E5D1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24,7</w:t>
            </w:r>
          </w:p>
        </w:tc>
      </w:tr>
    </w:tbl>
    <w:p w14:paraId="72533C8A" w14:textId="77777777" w:rsidR="00446E4A" w:rsidRDefault="00446E4A">
      <w:pPr>
        <w:spacing w:after="0"/>
      </w:pPr>
    </w:p>
    <w:p w14:paraId="7E467F6D" w14:textId="77777777" w:rsidR="00446E4A" w:rsidRDefault="00092D36" w:rsidP="0005017A">
      <w:pPr>
        <w:jc w:val="both"/>
      </w:pPr>
      <w:r>
        <w:t>Bilježi se smanjenje rashoda uslijed manje primljenih sredstava od strane osnivača škole za nabavu uredske opreme i namještaja u odnosu na isto razdoblje prošle godine kao i sredstava od nadležnog ministarstva za nabavu uredske opreme i namještaja za prove</w:t>
      </w:r>
      <w:r>
        <w:t>dbu eksperimentalnog programa cjelodnevne škole.</w:t>
      </w:r>
    </w:p>
    <w:p w14:paraId="71937E31" w14:textId="77777777" w:rsidR="00446E4A" w:rsidRDefault="00446E4A"/>
    <w:p w14:paraId="425D18E8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3C40C3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9166E8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2597F7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43B5B9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9F4FA0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E89AA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B3FEBF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61AD049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A71DBA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2C28A2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Uređaji, strojevi i oprema za </w:t>
            </w:r>
            <w:r>
              <w:rPr>
                <w:sz w:val="18"/>
              </w:rPr>
              <w:t>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1FB44E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54EC13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5.072,95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F189A3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995,19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3A326A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19,6</w:t>
            </w:r>
          </w:p>
        </w:tc>
      </w:tr>
    </w:tbl>
    <w:p w14:paraId="459701C2" w14:textId="77777777" w:rsidR="00446E4A" w:rsidRDefault="00446E4A">
      <w:pPr>
        <w:spacing w:after="0"/>
      </w:pPr>
    </w:p>
    <w:p w14:paraId="4D2B3995" w14:textId="77777777" w:rsidR="00446E4A" w:rsidRDefault="00092D36" w:rsidP="0005017A">
      <w:pPr>
        <w:jc w:val="both"/>
      </w:pPr>
      <w:r>
        <w:t>Bilježi se smanjenje rashoda u odnosu na isto razdoblje prošle godine uslijed manje primljenih sredstava od nadležnog ministarstva za nabavu uređaja za provedbu eksperimentalnog programa cjelodnevne škole.</w:t>
      </w:r>
    </w:p>
    <w:p w14:paraId="0E4CD542" w14:textId="77777777" w:rsidR="00446E4A" w:rsidRDefault="00446E4A"/>
    <w:p w14:paraId="349E0D6F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51B67D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6279A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DA1557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716EA5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</w:t>
            </w:r>
            <w:r>
              <w:rPr>
                <w:b/>
                <w:sz w:val="18"/>
              </w:rPr>
              <w:t>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E60B9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C15634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C14B6D2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19DAFE6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F53CC5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292A6F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Dodatna ulaganja na građevinskim objektima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4DA823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3808F3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265.397,55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BC41FF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CA6E3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015D6D4A" w14:textId="77777777" w:rsidR="00446E4A" w:rsidRDefault="00446E4A">
      <w:pPr>
        <w:spacing w:after="0"/>
      </w:pPr>
    </w:p>
    <w:p w14:paraId="589FFCD4" w14:textId="4A815CC8" w:rsidR="00446E4A" w:rsidRDefault="00092D36" w:rsidP="0005017A">
      <w:pPr>
        <w:jc w:val="both"/>
      </w:pPr>
      <w:r>
        <w:t>Bilježi se smanjenje rashoda u odnosu na isto razdoblje prošle godine jer je škola u prethodnoj godini primila sredstva od nadležnog ministarstva za adaptaciju matične i područne škole kako bi mogla provoditi eksperimentalni program cjelodnevne škole.</w:t>
      </w:r>
    </w:p>
    <w:p w14:paraId="0CB332CD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lastRenderedPageBreak/>
        <w:t>Bil</w:t>
      </w:r>
      <w:r>
        <w:rPr>
          <w:sz w:val="28"/>
        </w:rPr>
        <w:t>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4DE4F8E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B09785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B1BA3B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425F60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5195C2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AE99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0FA2CB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77E282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2E51E5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 9222x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08A810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- preneseni (šifre 92221+92222-92211-92212)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2460E7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9221x,9222x MP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A657C1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817F26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9.371,55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F7AE32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7B10215" w14:textId="77777777" w:rsidR="00446E4A" w:rsidRDefault="00446E4A">
      <w:pPr>
        <w:spacing w:after="0"/>
      </w:pPr>
    </w:p>
    <w:p w14:paraId="6CA9ABAE" w14:textId="77777777" w:rsidR="00446E4A" w:rsidRDefault="00092D36">
      <w:r>
        <w:t>Manjak prihoda - preneseni iznosi 9.371,55 EUR jer je ostvaren veći metodološki manjak u odnosu na isto razdoblje prošle godine.</w:t>
      </w:r>
    </w:p>
    <w:p w14:paraId="442C1A10" w14:textId="77777777" w:rsidR="00446E4A" w:rsidRDefault="00446E4A"/>
    <w:p w14:paraId="6AF0A85C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2E360C7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77B561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7609B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5F1276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D540B11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9489E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</w:t>
            </w:r>
            <w:r>
              <w:rPr>
                <w:b/>
                <w:sz w:val="18"/>
              </w:rPr>
              <w:t>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A3AD2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080CCFC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8897FA" w14:textId="77777777" w:rsidR="00446E4A" w:rsidRDefault="00446E4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3B49DC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8D2FF3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754B81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9.371,55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DE5F9E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99.053,71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06FC60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1057,0</w:t>
            </w:r>
          </w:p>
        </w:tc>
      </w:tr>
    </w:tbl>
    <w:p w14:paraId="6E8B19FE" w14:textId="77777777" w:rsidR="00446E4A" w:rsidRDefault="00446E4A">
      <w:pPr>
        <w:spacing w:after="0"/>
      </w:pPr>
    </w:p>
    <w:p w14:paraId="69712147" w14:textId="77777777" w:rsidR="00446E4A" w:rsidRDefault="00092D36" w:rsidP="0005017A">
      <w:pPr>
        <w:jc w:val="both"/>
      </w:pPr>
      <w:r>
        <w:t xml:space="preserve">Kada se zbroji manjak prihoda tekuće godine u iznosu od 89.682,16 EUR i manjak prihoda i primitaka prenesen iz prethodnog razdoblja od 9.371,55 EUR, na dan 31.12.2025. naša škola prikazuje ukupan manjak prihoda i primitaka za pokriće u sljedećem razdoblju </w:t>
      </w:r>
      <w:r>
        <w:t>od 99.053,71 EUR (šifra Y006). Ovaj manjak je znatno veći u odnosu na isto razdoblje prošle godine, što je posljedica evidentiranja rashoda za plaću i materijalna prava za mjesec prosinac, dok će prihodi biti priznati u siječnju 2026. godine, u skladu s no</w:t>
      </w:r>
      <w:r>
        <w:t>vim Pravilnikom o proračunskom računovodstvu i računskom planu.</w:t>
      </w:r>
    </w:p>
    <w:p w14:paraId="3416924F" w14:textId="77777777" w:rsidR="00446E4A" w:rsidRDefault="00446E4A"/>
    <w:p w14:paraId="60F7C1A8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7AA71C4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D2585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2530D7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CF738F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10B6A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FD2E0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F9AE78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3C79747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F535E5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218B81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</w:t>
            </w:r>
            <w:r>
              <w:rPr>
                <w:sz w:val="18"/>
              </w:rPr>
              <w:t>pomoći iz državnog proračuna proračunskim korisnicima proračuna JLP(R)S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F18A56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54E11B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316.733,30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4C96D0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957,60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426068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0,3</w:t>
            </w:r>
          </w:p>
        </w:tc>
      </w:tr>
    </w:tbl>
    <w:p w14:paraId="1A7698E2" w14:textId="77777777" w:rsidR="00446E4A" w:rsidRDefault="00446E4A">
      <w:pPr>
        <w:spacing w:after="0"/>
      </w:pPr>
    </w:p>
    <w:p w14:paraId="52D3D5CA" w14:textId="77777777" w:rsidR="00446E4A" w:rsidRDefault="00092D36" w:rsidP="0005017A">
      <w:pPr>
        <w:jc w:val="both"/>
      </w:pPr>
      <w:r>
        <w:t>Bilježi se smanjenje prihoda u odnosu na isto razdoblje prošle godine jer je škola u prethodnoj godini primila sredstva od nadležnog ministarstva za adaptaciju matične i područne škole kako bi se mogao provoditi eksperimentalni program cjelodnevne škole.</w:t>
      </w:r>
    </w:p>
    <w:p w14:paraId="23BD8F5C" w14:textId="77777777" w:rsidR="00446E4A" w:rsidRDefault="00446E4A"/>
    <w:p w14:paraId="3A318241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0086D37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5EDC8B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3F8DAD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2ADCC5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450E0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7F7D0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EBBB8D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08DF09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6A208A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6F3875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Kapitalne pomoći proračunskim korisnicima iz proračuna JLP(R)S koji im nije </w:t>
            </w:r>
            <w:r>
              <w:rPr>
                <w:sz w:val="18"/>
              </w:rPr>
              <w:t>nadležan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D5BC25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63623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9F9089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1.633,66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78C159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9E242F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F785E4D" w14:textId="77777777" w:rsidR="00446E4A" w:rsidRDefault="00446E4A">
      <w:pPr>
        <w:spacing w:after="0"/>
      </w:pPr>
    </w:p>
    <w:p w14:paraId="77C69E6A" w14:textId="77777777" w:rsidR="00446E4A" w:rsidRDefault="00092D36" w:rsidP="0005017A">
      <w:pPr>
        <w:jc w:val="both"/>
      </w:pPr>
      <w:r>
        <w:lastRenderedPageBreak/>
        <w:t xml:space="preserve">Smanjenje prihoda poslovanja bilježi se na kapitalnim pomoćima proračunskim korisnicima iz proračuna koji im nije nadležan, jer je prošle godine u navedenom razdoblju ostvaren prihod od Općine Koprivnički </w:t>
      </w:r>
      <w:proofErr w:type="spellStart"/>
      <w:r>
        <w:t>Bregi</w:t>
      </w:r>
      <w:proofErr w:type="spellEnd"/>
      <w:r>
        <w:t xml:space="preserve"> za zamjenu stolarije u područnoj školi.</w:t>
      </w:r>
    </w:p>
    <w:p w14:paraId="19B83ED2" w14:textId="77777777" w:rsidR="00446E4A" w:rsidRDefault="00446E4A"/>
    <w:p w14:paraId="4C4ED0EF" w14:textId="77777777" w:rsidR="00446E4A" w:rsidRDefault="00092D36">
      <w:pPr>
        <w:keepNext/>
        <w:spacing w:line="240" w:lineRule="auto"/>
        <w:jc w:val="center"/>
      </w:pPr>
      <w:r>
        <w:rPr>
          <w:b/>
          <w:sz w:val="28"/>
        </w:rPr>
        <w:t>Bila</w:t>
      </w:r>
      <w:r>
        <w:rPr>
          <w:b/>
          <w:sz w:val="28"/>
        </w:rPr>
        <w:t>nca</w:t>
      </w:r>
    </w:p>
    <w:p w14:paraId="06B24814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6A3B4B9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83E649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628C7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F74537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273C01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35B0DB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CE87C5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51095F7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07E9A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95DF77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Nefinancijska imovina (šifre 01+02+03+04+05+06)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AACC72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7200C3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2.011.617,80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942064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1.950.221,51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B7737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96,9</w:t>
            </w:r>
          </w:p>
        </w:tc>
      </w:tr>
    </w:tbl>
    <w:p w14:paraId="6FA0DE1A" w14:textId="77777777" w:rsidR="00446E4A" w:rsidRDefault="00446E4A">
      <w:pPr>
        <w:spacing w:after="0"/>
      </w:pPr>
    </w:p>
    <w:p w14:paraId="09758548" w14:textId="77777777" w:rsidR="00446E4A" w:rsidRDefault="00092D36" w:rsidP="0005017A">
      <w:pPr>
        <w:jc w:val="both"/>
      </w:pPr>
      <w:r>
        <w:t>Vrijednost građevinskih objekata, postrojenja i opreme ispravlja se po prosječnim godišnjim stopama, prema Pravilniku o proračunskom računovodstvu i računskom planu.</w:t>
      </w:r>
    </w:p>
    <w:p w14:paraId="7C86DC1E" w14:textId="77777777" w:rsidR="00446E4A" w:rsidRDefault="00446E4A"/>
    <w:p w14:paraId="5CB7573E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01946B4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AD88B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1F901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26A7128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83F00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B6CD1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A83F0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69C2EBE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E340A8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A342EAB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za prihode poslovanja 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EEF3FEB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74067E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40.246,42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29EDCF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116.552,78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94F68B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289,6</w:t>
            </w:r>
          </w:p>
        </w:tc>
      </w:tr>
    </w:tbl>
    <w:p w14:paraId="75E068E9" w14:textId="77777777" w:rsidR="00446E4A" w:rsidRDefault="00446E4A">
      <w:pPr>
        <w:spacing w:after="0"/>
      </w:pPr>
    </w:p>
    <w:p w14:paraId="3D259FBE" w14:textId="77777777" w:rsidR="00446E4A" w:rsidRDefault="00092D36" w:rsidP="0005017A">
      <w:pPr>
        <w:jc w:val="both"/>
      </w:pPr>
      <w:r>
        <w:t>Povećanje potraživanja za prihode poslovanja  odnosi se na potraživanja za pomoći proračunskim korisnicima iz proračuna koji im nije nadležan u iznosu od 116.552,78 EUR, a nastalo je zbog knjiženja plaće za prosinac 2025. na datum 31.12.2025., dok će priho</w:t>
      </w:r>
      <w:r>
        <w:t>d za iste rashode biti evidentiran u siječnju 2026. godine.  </w:t>
      </w:r>
    </w:p>
    <w:p w14:paraId="676E017B" w14:textId="77777777" w:rsidR="00446E4A" w:rsidRDefault="00446E4A"/>
    <w:p w14:paraId="023BB423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49BC19A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7A5E22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7A19C4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3B55C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55E05A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8C8D40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39EB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1BC593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32348D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116E73B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od prodaje proizvoda i robe te pruženih usluga i za </w:t>
            </w:r>
            <w:r>
              <w:rPr>
                <w:sz w:val="18"/>
              </w:rPr>
              <w:t>povrat po protestiranim jamstvima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B18C63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639684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736,27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923D04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1.789,60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3B8E0F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243,1</w:t>
            </w:r>
          </w:p>
        </w:tc>
      </w:tr>
    </w:tbl>
    <w:p w14:paraId="05B80B8A" w14:textId="77777777" w:rsidR="00446E4A" w:rsidRDefault="00446E4A">
      <w:pPr>
        <w:spacing w:after="0"/>
      </w:pPr>
    </w:p>
    <w:p w14:paraId="009F5A8B" w14:textId="77777777" w:rsidR="00446E4A" w:rsidRDefault="00092D36">
      <w:r>
        <w:t>Potraživanja za prihode od prodaje proizvoda i robe te pruženih usluga bilježe povećanje u odnosu na prošlu godinu, a odnose se na račune od prodaje papira te iznajmljivanja dvorane.</w:t>
      </w:r>
    </w:p>
    <w:p w14:paraId="7C613CD1" w14:textId="77777777" w:rsidR="00446E4A" w:rsidRDefault="00446E4A"/>
    <w:p w14:paraId="39671237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lastRenderedPageBreak/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26F1062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2A9C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A77941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E37D2B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45AA32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Stanje 1. </w:t>
            </w:r>
            <w:r>
              <w:rPr>
                <w:b/>
                <w:sz w:val="18"/>
              </w:rPr>
              <w:t>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9F1642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25B081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646224B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84DB7C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E4E011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tekuće obveze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4B29B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0F4DAA0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732,19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73D868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41F509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428A25C" w14:textId="77777777" w:rsidR="00446E4A" w:rsidRDefault="00446E4A">
      <w:pPr>
        <w:spacing w:after="0"/>
      </w:pPr>
    </w:p>
    <w:p w14:paraId="45E95746" w14:textId="77777777" w:rsidR="00446E4A" w:rsidRDefault="00092D36" w:rsidP="0005017A">
      <w:pPr>
        <w:jc w:val="both"/>
      </w:pPr>
      <w:r>
        <w:t>Na kontu 239 Ostale tekuće obveze nema iznosa jer su prema novom Pravilniku o proračunskom računovodstvu knjiženja vezana uz bolovanja prebačena na novi konto 27612</w:t>
      </w:r>
    </w:p>
    <w:p w14:paraId="23C5E695" w14:textId="77777777" w:rsidR="00446E4A" w:rsidRDefault="00446E4A"/>
    <w:p w14:paraId="7A2BA6E9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7D5A6BA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F2F1A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AEFF65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887E69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66F3D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662FB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D01FA2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53B9F3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E00144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C9D5841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Obveze za dodatna ulaganja na nefinancijskoj imovini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4FAB8D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245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751676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30.819,25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EBAFB0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BFF8D7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1FD257B4" w14:textId="77777777" w:rsidR="00446E4A" w:rsidRDefault="00446E4A">
      <w:pPr>
        <w:spacing w:after="0"/>
      </w:pPr>
    </w:p>
    <w:p w14:paraId="637B549A" w14:textId="77777777" w:rsidR="00446E4A" w:rsidRDefault="00092D36">
      <w:r>
        <w:t>Na kontu 24 Obveze za nabavu nefinancijske imovine nema iznosa, jer je dospjelo dugovanje iz prethodnog razdoblja u tekućoj godini u cijelosti podmireno.</w:t>
      </w:r>
    </w:p>
    <w:p w14:paraId="0D698B57" w14:textId="77777777" w:rsidR="00446E4A" w:rsidRDefault="00446E4A"/>
    <w:p w14:paraId="25133198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359CDC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625567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37351AC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10F3B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61E70F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E9D36F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6130E1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2CCF96D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BADCD7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4B71086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(šifre 961 do 963 + 964 do 968)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01DE83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C22EC5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1.886,87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C88F39E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103.130,13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F6A2C7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5465,7</w:t>
            </w:r>
          </w:p>
        </w:tc>
      </w:tr>
    </w:tbl>
    <w:p w14:paraId="32DA9B2F" w14:textId="77777777" w:rsidR="00446E4A" w:rsidRDefault="00446E4A">
      <w:pPr>
        <w:spacing w:after="0"/>
      </w:pPr>
    </w:p>
    <w:p w14:paraId="07803531" w14:textId="77777777" w:rsidR="00446E4A" w:rsidRDefault="00092D36" w:rsidP="0005017A">
      <w:pPr>
        <w:jc w:val="both"/>
      </w:pPr>
      <w:r>
        <w:t xml:space="preserve">Obračunati prihodi poslovanja – nenaplaćeni imaju rast indeksa »100 jer smo prema novom Pravilniku o proračunskom računovodstvu i računskom planu morali knjižiti potraživanja i obračunate prihode za plaću i materijalna prava što nije bio slučaj prethodnih </w:t>
      </w:r>
      <w:r>
        <w:t>godina.</w:t>
      </w:r>
    </w:p>
    <w:p w14:paraId="5C85477B" w14:textId="77777777" w:rsidR="00446E4A" w:rsidRDefault="00446E4A"/>
    <w:p w14:paraId="001419BF" w14:textId="77777777" w:rsidR="00446E4A" w:rsidRDefault="00092D36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1E2C629F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4D8C2DE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D0240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025BAE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842530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936965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F220E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0A4F2C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24B50B6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954AE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C24A4F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Obrazovanje (šifre </w:t>
            </w:r>
            <w:r>
              <w:rPr>
                <w:sz w:val="18"/>
              </w:rPr>
              <w:t>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A9B442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750F9C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1.631.042,22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E4A006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1.530.392,53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DBE38B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93,8</w:t>
            </w:r>
          </w:p>
        </w:tc>
      </w:tr>
    </w:tbl>
    <w:p w14:paraId="508392A9" w14:textId="77777777" w:rsidR="00446E4A" w:rsidRDefault="00446E4A" w:rsidP="0005017A">
      <w:pPr>
        <w:spacing w:after="0"/>
        <w:jc w:val="both"/>
      </w:pPr>
    </w:p>
    <w:p w14:paraId="629E3D3A" w14:textId="77777777" w:rsidR="00446E4A" w:rsidRDefault="00092D36" w:rsidP="0005017A">
      <w:pPr>
        <w:jc w:val="both"/>
      </w:pPr>
      <w:r>
        <w:t>Ukupni rashodi za obrazovanje smanjeni su u odnosu na prošlu godinu (93,8 %), dok su rashodi za dodatne usluge u obrazovanju blago povećani (106,0 %), što odražava realizaciju dodatnih programa za učenike.</w:t>
      </w:r>
    </w:p>
    <w:p w14:paraId="6B9FC01F" w14:textId="77777777" w:rsidR="00446E4A" w:rsidRDefault="00446E4A" w:rsidP="0005017A">
      <w:pPr>
        <w:jc w:val="both"/>
      </w:pPr>
    </w:p>
    <w:p w14:paraId="6A9A4E3C" w14:textId="77777777" w:rsidR="00446E4A" w:rsidRDefault="00092D36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3CB84012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446E4A" w14:paraId="38B163D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37EB814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6879F5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1B89AA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D1A8B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7033E4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83932A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645AA6C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0D235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F9CE238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9F4334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1F8F5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18AB63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84.834,19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73F3BD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4BBEECB" w14:textId="77777777" w:rsidR="00446E4A" w:rsidRDefault="00446E4A">
      <w:pPr>
        <w:spacing w:after="0"/>
      </w:pPr>
    </w:p>
    <w:p w14:paraId="38C48975" w14:textId="77777777" w:rsidR="00446E4A" w:rsidRDefault="00092D36" w:rsidP="0005017A">
      <w:pPr>
        <w:jc w:val="both"/>
      </w:pPr>
      <w:r>
        <w:t xml:space="preserve">Smanjenje vrijednosti nefinancijske imovine u iznosu od 84.834,19 EUR predstavlja amortizaciju </w:t>
      </w:r>
      <w:proofErr w:type="spellStart"/>
      <w:r>
        <w:t>neproizvedene</w:t>
      </w:r>
      <w:proofErr w:type="spellEnd"/>
      <w:r>
        <w:t xml:space="preserve"> dugotrajne imovine, sukladno Pravilniku o proračunskom računovodstvu. </w:t>
      </w:r>
    </w:p>
    <w:p w14:paraId="66DA31AE" w14:textId="77777777" w:rsidR="00446E4A" w:rsidRDefault="00446E4A"/>
    <w:p w14:paraId="5BB0DACB" w14:textId="77777777" w:rsidR="00446E4A" w:rsidRDefault="00092D3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2AC67DE1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27.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46E4A" w14:paraId="261BA2D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D7FC4E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F6EE76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27128F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FFF527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</w:t>
            </w:r>
            <w:r>
              <w:rPr>
                <w:b/>
                <w:sz w:val="18"/>
              </w:rPr>
              <w:t>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6CC70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1871D50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440441" w14:textId="77777777" w:rsidR="00446E4A" w:rsidRDefault="00446E4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563F0C8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1. siječnja (=stanju obveza iz Izvještaja o obvezama na 31. prosinca prethodne godine)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18E0DA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76EDE0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48.428,01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908CAE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206B4B3" w14:textId="77777777" w:rsidR="00446E4A" w:rsidRDefault="00446E4A">
      <w:pPr>
        <w:spacing w:after="0"/>
      </w:pPr>
    </w:p>
    <w:p w14:paraId="364F2F96" w14:textId="0B3DF06D" w:rsidR="00446E4A" w:rsidRDefault="00092D36">
      <w:r>
        <w:t>Na V001 prikazano je stanje obveza na početku izvještajnog razdoblja, odnosno s 31.12.202</w:t>
      </w:r>
      <w:r w:rsidR="000237E9">
        <w:t>4</w:t>
      </w:r>
      <w:r>
        <w:t>. godine, a koje je iznosilo 48.428,01 EUR. Navedeni iznos odnosi se na račune koji su knjiženi zaključno s 31.12.2024. godine, a podmireni su tijekom mjeseca siječnj</w:t>
      </w:r>
      <w:r>
        <w:t>a 2025. godine.</w:t>
      </w:r>
    </w:p>
    <w:p w14:paraId="16E1714D" w14:textId="77777777" w:rsidR="00446E4A" w:rsidRDefault="00446E4A"/>
    <w:p w14:paraId="61C44859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28.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46E4A" w14:paraId="0FF8990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87312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03533B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9CC22A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D1CD42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BC0429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050BA7A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135CE3" w14:textId="77777777" w:rsidR="00446E4A" w:rsidRDefault="00446E4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DF44E9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obveza na kraju izvještajnog razdoblja (šifre V001+V002-V004) i (šifre V007+V009)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636D51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565B1FD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113.276,30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6A1099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B2C9FD8" w14:textId="77777777" w:rsidR="00446E4A" w:rsidRDefault="00446E4A">
      <w:pPr>
        <w:spacing w:after="0"/>
      </w:pPr>
    </w:p>
    <w:p w14:paraId="69FCEEF1" w14:textId="77777777" w:rsidR="00446E4A" w:rsidRDefault="00092D36">
      <w:r>
        <w:t>U Izvještaju o obvezama razvidno je da ukupne obveze na dan 31.12.2025. godine iznose 113.276,30 EUR što je prikazano na V006.</w:t>
      </w:r>
    </w:p>
    <w:p w14:paraId="27678CB6" w14:textId="77777777" w:rsidR="00446E4A" w:rsidRDefault="00092D36">
      <w:r>
        <w:t>Od toga se iznos od 112.479,94 EUR odnosi na obveze za rashode poslovanja, iznos od 25,26 EUR na obveze za financijsku imovinu, i</w:t>
      </w:r>
      <w:r>
        <w:t xml:space="preserve">znos od 796,36 EUR na obveze za predujmove, depozite, </w:t>
      </w:r>
      <w:proofErr w:type="spellStart"/>
      <w:r>
        <w:t>jamčevne</w:t>
      </w:r>
      <w:proofErr w:type="spellEnd"/>
      <w:r>
        <w:t xml:space="preserve"> </w:t>
      </w:r>
      <w:proofErr w:type="spellStart"/>
      <w:r>
        <w:t>pologe</w:t>
      </w:r>
      <w:proofErr w:type="spellEnd"/>
      <w:r>
        <w:t xml:space="preserve"> i tuđe prihode dok na dan 31.12.2025. nema obveza za nabavu nefinancijske imovine.</w:t>
      </w:r>
      <w:r>
        <w:br/>
      </w:r>
      <w:r>
        <w:br/>
      </w:r>
      <w:r>
        <w:br/>
      </w:r>
      <w:r>
        <w:br/>
        <w:t> </w:t>
      </w:r>
    </w:p>
    <w:p w14:paraId="4A8DF0F1" w14:textId="77777777" w:rsidR="00446E4A" w:rsidRDefault="00446E4A"/>
    <w:p w14:paraId="42612AB0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lastRenderedPageBreak/>
        <w:t>Bilješka 29.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446E4A" w14:paraId="65D627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F7350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E78193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62E97A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A3B794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C65C77" w14:textId="77777777" w:rsidR="00446E4A" w:rsidRDefault="00092D3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446E4A" w14:paraId="37DEC73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C1FD39" w14:textId="77777777" w:rsidR="00446E4A" w:rsidRDefault="00446E4A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1C696C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Stanje dospjelih </w:t>
            </w:r>
            <w:r>
              <w:rPr>
                <w:sz w:val="18"/>
              </w:rPr>
              <w:t>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05156B" w14:textId="77777777" w:rsidR="00446E4A" w:rsidRDefault="00092D3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13AB1F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98AAD6" w14:textId="77777777" w:rsidR="00446E4A" w:rsidRDefault="00092D3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88D12A5" w14:textId="77777777" w:rsidR="00446E4A" w:rsidRDefault="00446E4A">
      <w:pPr>
        <w:spacing w:after="0"/>
      </w:pPr>
    </w:p>
    <w:p w14:paraId="57112E57" w14:textId="77777777" w:rsidR="00446E4A" w:rsidRDefault="00092D36">
      <w:r>
        <w:t xml:space="preserve">U izvještajnom razdoblju OŠ Koprivnički </w:t>
      </w:r>
      <w:proofErr w:type="spellStart"/>
      <w:r>
        <w:t>Bregi</w:t>
      </w:r>
      <w:proofErr w:type="spellEnd"/>
      <w:r>
        <w:t xml:space="preserve"> je podmirivala sve preuzete obveze. Slijedom navedenog, na dan 31. prosinca 2025. godine stanje dospjelih obveza iznosi 0,00 EUR.</w:t>
      </w:r>
    </w:p>
    <w:p w14:paraId="492B96BF" w14:textId="77777777" w:rsidR="00446E4A" w:rsidRDefault="00446E4A"/>
    <w:p w14:paraId="284300BE" w14:textId="77777777" w:rsidR="00446E4A" w:rsidRDefault="00092D36">
      <w:pPr>
        <w:keepNext/>
        <w:spacing w:line="240" w:lineRule="auto"/>
        <w:jc w:val="center"/>
      </w:pPr>
      <w:r>
        <w:rPr>
          <w:sz w:val="28"/>
        </w:rPr>
        <w:t>Bilješka 30.</w:t>
      </w:r>
    </w:p>
    <w:p w14:paraId="2D804D52" w14:textId="77777777" w:rsidR="00446E4A" w:rsidRDefault="00092D36">
      <w:pPr>
        <w:spacing w:line="240" w:lineRule="auto"/>
        <w:jc w:val="both"/>
      </w:pPr>
      <w:r>
        <w:rPr>
          <w:b/>
        </w:rPr>
        <w:t>EU izvještaj</w:t>
      </w:r>
    </w:p>
    <w:p w14:paraId="2E230387" w14:textId="77777777" w:rsidR="00446E4A" w:rsidRDefault="00092D36">
      <w:r>
        <w:rPr>
          <w:i/>
        </w:rPr>
        <w:t>1.Prihodi i primici vezani uz EU sredstva</w:t>
      </w:r>
    </w:p>
    <w:p w14:paraId="2E8352EA" w14:textId="34FA8098" w:rsidR="00446E4A" w:rsidRDefault="00092D36" w:rsidP="00092D36">
      <w:pPr>
        <w:jc w:val="both"/>
      </w:pPr>
      <w:r>
        <w:t>U izvještaj</w:t>
      </w:r>
      <w:r>
        <w:t>nom razdoblju Škola je ostvarila prihode povezane s provedbom aktivnosti financiranih sredstvima Europske unije u ukupnom iznosu od 32.986,62 EUR.</w:t>
      </w:r>
      <w:r>
        <w:br/>
        <w:t>Ostvareni prihodi evidentirani su na kontu 6393 – Tekući prijenosi između proračunskih korisnika istog prorač</w:t>
      </w:r>
      <w:r>
        <w:t>una temeljem prijenosa EU sredstava, a odnose se na sredstva doznačena putem nadležnog proračuna za provedbu EU projekata Prilika za sve 7 i Školska shema.</w:t>
      </w:r>
    </w:p>
    <w:p w14:paraId="7F109ED0" w14:textId="77777777" w:rsidR="00446E4A" w:rsidRDefault="00092D36">
      <w:r>
        <w:rPr>
          <w:i/>
        </w:rPr>
        <w:t>2. Rashodi i izdaci</w:t>
      </w:r>
    </w:p>
    <w:p w14:paraId="64C3F5B0" w14:textId="05643B18" w:rsidR="0005017A" w:rsidRDefault="00092D36" w:rsidP="0005017A">
      <w:pPr>
        <w:jc w:val="both"/>
      </w:pPr>
      <w:r>
        <w:t>Ukupni rashodi povezani s provedbom EU aktivnosti u izvještajnom razdoblju izn</w:t>
      </w:r>
      <w:r>
        <w:t>ose 35.450,95 EUR.</w:t>
      </w:r>
      <w:r>
        <w:t> </w:t>
      </w:r>
    </w:p>
    <w:p w14:paraId="50013039" w14:textId="0B52062F" w:rsidR="00446E4A" w:rsidRPr="0005017A" w:rsidRDefault="00092D36">
      <w:pPr>
        <w:rPr>
          <w:u w:val="single"/>
        </w:rPr>
      </w:pPr>
      <w:r w:rsidRPr="0005017A">
        <w:rPr>
          <w:u w:val="single"/>
        </w:rPr>
        <w:t>2.1.Rashodi za zaposlene</w:t>
      </w:r>
    </w:p>
    <w:p w14:paraId="58A3EC86" w14:textId="77777777" w:rsidR="00446E4A" w:rsidRDefault="00092D36">
      <w:r>
        <w:t>Ukupni rashodi: 31.675,21 EUR</w:t>
      </w:r>
    </w:p>
    <w:p w14:paraId="23B5A726" w14:textId="77777777" w:rsidR="00446E4A" w:rsidRDefault="00092D36">
      <w:r>
        <w:t>Plaće za redovan rad: 25.861,85 EUR</w:t>
      </w:r>
    </w:p>
    <w:p w14:paraId="0ADA27D0" w14:textId="77777777" w:rsidR="00446E4A" w:rsidRDefault="00092D36">
      <w:r>
        <w:t>Ostali rashodi za zaposlene: 1.540,00 EUR</w:t>
      </w:r>
    </w:p>
    <w:p w14:paraId="6E360338" w14:textId="77777777" w:rsidR="00446E4A" w:rsidRDefault="00092D36">
      <w:r>
        <w:t>Doprinosi na plaće (zdravstveno osiguranje): 4.273,36 EUR</w:t>
      </w:r>
    </w:p>
    <w:p w14:paraId="29265F13" w14:textId="77777777" w:rsidR="00446E4A" w:rsidRPr="0005017A" w:rsidRDefault="00092D36">
      <w:pPr>
        <w:rPr>
          <w:u w:val="single"/>
        </w:rPr>
      </w:pPr>
      <w:r w:rsidRPr="0005017A">
        <w:rPr>
          <w:u w:val="single"/>
        </w:rPr>
        <w:t>2.2. Materijalni rashodi</w:t>
      </w:r>
    </w:p>
    <w:p w14:paraId="401A2CC0" w14:textId="77777777" w:rsidR="00446E4A" w:rsidRDefault="00092D36">
      <w:r>
        <w:t>Ukupni materijalni rashodi: 3.775,74 EUR</w:t>
      </w:r>
    </w:p>
    <w:p w14:paraId="47339B37" w14:textId="77777777" w:rsidR="00446E4A" w:rsidRDefault="00092D36">
      <w:r>
        <w:t>Naknade troškova zaposlenima (prijevoz i službena putovanja): 1.647,97 EUR</w:t>
      </w:r>
    </w:p>
    <w:p w14:paraId="21D6622D" w14:textId="77777777" w:rsidR="00446E4A" w:rsidRDefault="00092D36">
      <w:r>
        <w:t>Rashodi za materijal i sirovine: 2.127,77 EUR</w:t>
      </w:r>
    </w:p>
    <w:p w14:paraId="38811FFB" w14:textId="77777777" w:rsidR="00446E4A" w:rsidRDefault="00092D36">
      <w:r>
        <w:rPr>
          <w:i/>
        </w:rPr>
        <w:t>3. Nacional</w:t>
      </w:r>
      <w:r>
        <w:rPr>
          <w:i/>
        </w:rPr>
        <w:t>no sufinanciranje</w:t>
      </w:r>
    </w:p>
    <w:p w14:paraId="4CB4AC89" w14:textId="77777777" w:rsidR="00446E4A" w:rsidRDefault="00092D36">
      <w:r>
        <w:t>U izvještajnom razdoblju nije bilo evidentirano nacionalno sufinanciranje EU aktivnosti. Svi rashodi iskazani su u okviru izvora financiranja za praćenje EU sredstava.</w:t>
      </w:r>
    </w:p>
    <w:p w14:paraId="4A4BE121" w14:textId="77777777" w:rsidR="00446E4A" w:rsidRDefault="00092D36">
      <w:r>
        <w:rPr>
          <w:i/>
        </w:rPr>
        <w:t>4. Razlika prihoda i rashoda</w:t>
      </w:r>
    </w:p>
    <w:p w14:paraId="5C089544" w14:textId="77777777" w:rsidR="00446E4A" w:rsidRDefault="00092D36" w:rsidP="0005017A">
      <w:pPr>
        <w:jc w:val="both"/>
      </w:pPr>
      <w:r>
        <w:lastRenderedPageBreak/>
        <w:t>U izvještajnom razdoblju ostvareni rashod</w:t>
      </w:r>
      <w:r>
        <w:t>i povezani s EU aktivnostima veći su od ostvarenih prihoda, što je u skladu s dinamikom financiranja EU projekata. Nadoknada sredstava ostvaruje se putem naknadnih prijenosa iz nadležnog proračuna.</w:t>
      </w:r>
    </w:p>
    <w:p w14:paraId="50532938" w14:textId="77777777" w:rsidR="00446E4A" w:rsidRDefault="00092D36">
      <w:r>
        <w:rPr>
          <w:i/>
        </w:rPr>
        <w:t>5. Obveze</w:t>
      </w:r>
    </w:p>
    <w:p w14:paraId="2161292E" w14:textId="77777777" w:rsidR="00446E4A" w:rsidRDefault="00092D36">
      <w:r>
        <w:t>Na dan završetka izvještajnog razdoblja Škola ne</w:t>
      </w:r>
      <w:r>
        <w:t>ma dospjelih obveza vezanih uz provedbu EU aktivnosti.</w:t>
      </w:r>
      <w:r>
        <w:br/>
        <w:t>Stanje dospjelih obveza: 0,00 EUR</w:t>
      </w:r>
    </w:p>
    <w:p w14:paraId="27758967" w14:textId="77777777" w:rsidR="00446E4A" w:rsidRDefault="00092D36">
      <w:r>
        <w:rPr>
          <w:b/>
        </w:rPr>
        <w:t>Izvor 561 – Europski socijalni fond plus (ESF+)</w:t>
      </w:r>
    </w:p>
    <w:p w14:paraId="6324F707" w14:textId="77777777" w:rsidR="00446E4A" w:rsidRDefault="00092D36">
      <w:r>
        <w:rPr>
          <w:i/>
        </w:rPr>
        <w:t>1. Prihodi i primici</w:t>
      </w:r>
    </w:p>
    <w:p w14:paraId="1C25B3BE" w14:textId="77777777" w:rsidR="00446E4A" w:rsidRDefault="00092D36" w:rsidP="0005017A">
      <w:pPr>
        <w:jc w:val="both"/>
      </w:pPr>
      <w:r>
        <w:t>U izvještajnom razdoblju Škola je ostvarila prihode vezane uz izvor financiranja 561 – Europski socijalni fond plus u ukupnom iznosu od 30.755,42 EUR za provedbu projekta Prilika za sve 7, uključujući plaće, materijalna prava te naknadu za prijevoz pomoćni</w:t>
      </w:r>
      <w:r>
        <w:t xml:space="preserve">ka u nastavi. Ostvareni prihodi evidentirani su na kontu 6393 – Tekući prijenosi između proračunskih korisnika istog proračuna temeljem prijenosa EU sredstava, a odnose se na sredstva doznačena putem nadležnog proračuna za provedbu aktivnosti financiranih </w:t>
      </w:r>
      <w:r>
        <w:t>iz ESF+.</w:t>
      </w:r>
    </w:p>
    <w:p w14:paraId="6D6D3E96" w14:textId="77777777" w:rsidR="00446E4A" w:rsidRDefault="00092D36">
      <w:r>
        <w:rPr>
          <w:i/>
        </w:rPr>
        <w:t>2. Rashodi i izdaci</w:t>
      </w:r>
    </w:p>
    <w:p w14:paraId="1306F409" w14:textId="77777777" w:rsidR="00446E4A" w:rsidRDefault="00092D36">
      <w:r>
        <w:t>Ukupni rashodi financirani iz izvora 561 u izvještajnom razdoblju iznose 33.323,18 EUR</w:t>
      </w:r>
    </w:p>
    <w:p w14:paraId="0CCCB458" w14:textId="77777777" w:rsidR="00446E4A" w:rsidRPr="0005017A" w:rsidRDefault="00092D36">
      <w:pPr>
        <w:rPr>
          <w:u w:val="single"/>
        </w:rPr>
      </w:pPr>
      <w:r w:rsidRPr="0005017A">
        <w:rPr>
          <w:u w:val="single"/>
        </w:rPr>
        <w:t>2.1. Rashodi za zaposlene</w:t>
      </w:r>
    </w:p>
    <w:p w14:paraId="242F5ADA" w14:textId="77777777" w:rsidR="00446E4A" w:rsidRDefault="00092D36">
      <w:r>
        <w:t>Ukupno: 31.675,21 EUR</w:t>
      </w:r>
    </w:p>
    <w:p w14:paraId="47BD3097" w14:textId="77777777" w:rsidR="00446E4A" w:rsidRDefault="00092D36">
      <w:r>
        <w:t>Plaće za redovan rad: 25.861,85 EUR</w:t>
      </w:r>
    </w:p>
    <w:p w14:paraId="3FFDF110" w14:textId="77777777" w:rsidR="00446E4A" w:rsidRDefault="00092D36">
      <w:r>
        <w:t>Ostali rashodi za zaposlene: 1.540,00 EUR</w:t>
      </w:r>
    </w:p>
    <w:p w14:paraId="0C15D559" w14:textId="77777777" w:rsidR="00446E4A" w:rsidRDefault="00092D36">
      <w:r>
        <w:t>Doprinosi na p</w:t>
      </w:r>
      <w:r>
        <w:t>laće (zdravstveno osiguranje): 4.273,36 EUR</w:t>
      </w:r>
    </w:p>
    <w:p w14:paraId="3CA66557" w14:textId="77777777" w:rsidR="00446E4A" w:rsidRPr="0005017A" w:rsidRDefault="00092D36">
      <w:pPr>
        <w:rPr>
          <w:u w:val="single"/>
        </w:rPr>
      </w:pPr>
      <w:r w:rsidRPr="0005017A">
        <w:rPr>
          <w:u w:val="single"/>
        </w:rPr>
        <w:t>2.2. Materijalni rashodi</w:t>
      </w:r>
    </w:p>
    <w:p w14:paraId="568A8250" w14:textId="77777777" w:rsidR="00446E4A" w:rsidRDefault="00092D36">
      <w:r>
        <w:t>Ukupno: 1.647,97 EUR</w:t>
      </w:r>
    </w:p>
    <w:p w14:paraId="1AB60A63" w14:textId="77777777" w:rsidR="00446E4A" w:rsidRDefault="00092D36">
      <w:r>
        <w:t>Naknade troškova zaposlenima (službena putovanja i prijevoz): 1.647,97 EUR</w:t>
      </w:r>
    </w:p>
    <w:p w14:paraId="54B92AD7" w14:textId="77777777" w:rsidR="00446E4A" w:rsidRDefault="00092D36">
      <w:r>
        <w:rPr>
          <w:i/>
        </w:rPr>
        <w:t>3. Razlika prihoda i rashoda</w:t>
      </w:r>
    </w:p>
    <w:p w14:paraId="5EAD60C1" w14:textId="77777777" w:rsidR="00446E4A" w:rsidRDefault="00092D36" w:rsidP="00B94532">
      <w:pPr>
        <w:jc w:val="both"/>
      </w:pPr>
      <w:r>
        <w:t>Razlika između prihoda i rashoda nastala je zbog vremenskog ne</w:t>
      </w:r>
      <w:r>
        <w:t>sklada u evidentiranju rashoda i prihoda. Rashodi za plaću pomoćnika u nastavi evidentirani su u prosincu 2025., dok je isplata plaće izvršena u siječnju 2026. Prihod za pokriće navedenih rashoda evidentiran je u 2026. godini.</w:t>
      </w:r>
    </w:p>
    <w:p w14:paraId="3C65C679" w14:textId="77777777" w:rsidR="00446E4A" w:rsidRDefault="00092D36">
      <w:r>
        <w:rPr>
          <w:i/>
        </w:rPr>
        <w:t>4. Obveze</w:t>
      </w:r>
    </w:p>
    <w:p w14:paraId="277BDB30" w14:textId="77777777" w:rsidR="00446E4A" w:rsidRDefault="00092D36">
      <w:r>
        <w:t>Na dan završetka iz</w:t>
      </w:r>
      <w:r>
        <w:t>vještajnog razdoblja Škola nema dospjelih obveza.</w:t>
      </w:r>
      <w:r>
        <w:br/>
        <w:t>Stanje dospjelih obveza: 0,00 EUR</w:t>
      </w:r>
    </w:p>
    <w:p w14:paraId="55948200" w14:textId="77777777" w:rsidR="00446E4A" w:rsidRDefault="00092D36">
      <w:r>
        <w:t> </w:t>
      </w:r>
    </w:p>
    <w:p w14:paraId="3D4C115E" w14:textId="77777777" w:rsidR="00446E4A" w:rsidRDefault="00092D36">
      <w:r>
        <w:rPr>
          <w:b/>
        </w:rPr>
        <w:t>Izvor 565 – Europski poljoprivredni fond za ruralni razvoj (EPFRR)</w:t>
      </w:r>
    </w:p>
    <w:p w14:paraId="2A43150C" w14:textId="77777777" w:rsidR="00446E4A" w:rsidRDefault="00092D36">
      <w:r>
        <w:rPr>
          <w:i/>
        </w:rPr>
        <w:lastRenderedPageBreak/>
        <w:t>1. Prihodi i primici</w:t>
      </w:r>
    </w:p>
    <w:p w14:paraId="6A8B354A" w14:textId="77777777" w:rsidR="00446E4A" w:rsidRDefault="00092D36" w:rsidP="00B94532">
      <w:pPr>
        <w:jc w:val="both"/>
      </w:pPr>
      <w:r>
        <w:t>U izvještajnom razdoblju Škola je ostvarila prihode iz izvora 565 – Europski poljoprivredni fond za ruralni razvoj u ukupnom iznosu od 2.231,20 EUR, u sklopu projekta Školska shema za nabavu namirnica (mlijeka i voća) za učenike škole. Ostvareni prihodi ev</w:t>
      </w:r>
      <w:r>
        <w:t>identirani su na kontu 6393 – Tekući prijenosi između proračunskih korisnika istog proračuna.</w:t>
      </w:r>
    </w:p>
    <w:p w14:paraId="7988401B" w14:textId="77777777" w:rsidR="00446E4A" w:rsidRDefault="00092D36">
      <w:r>
        <w:rPr>
          <w:i/>
        </w:rPr>
        <w:t>2. Rashodi i izdaci</w:t>
      </w:r>
    </w:p>
    <w:p w14:paraId="7B103F0C" w14:textId="77777777" w:rsidR="00446E4A" w:rsidRDefault="00092D36">
      <w:r>
        <w:t>Ukupni rashodi iz ovog izvora iznose 2.127,77 EUR, i odnose se isključivo na materijalne rashode: Rashodi za materijal i sirovine (konto 3222)</w:t>
      </w:r>
      <w:r>
        <w:t>: 2.127,77 EUR</w:t>
      </w:r>
    </w:p>
    <w:p w14:paraId="394F9749" w14:textId="77777777" w:rsidR="00446E4A" w:rsidRDefault="00092D36">
      <w:r>
        <w:rPr>
          <w:i/>
        </w:rPr>
        <w:t>3. Razlika prihoda i rashoda</w:t>
      </w:r>
    </w:p>
    <w:p w14:paraId="3D6BA2F6" w14:textId="77777777" w:rsidR="00446E4A" w:rsidRDefault="00092D36">
      <w:r>
        <w:t>Razlika nastala zbog vremenskog nesklada u evidentiranju poslovnih događaja. Rashodi za namirnice za prosinac 2025. evidentirani su 31.12.2025., dok je plaćanje izvršeno u siječnju 2026. Prihod za pokriće rashoda</w:t>
      </w:r>
      <w:r>
        <w:t xml:space="preserve"> evidentiran je u 2026.</w:t>
      </w:r>
    </w:p>
    <w:p w14:paraId="6557903B" w14:textId="77777777" w:rsidR="00446E4A" w:rsidRDefault="00092D36">
      <w:r>
        <w:rPr>
          <w:i/>
        </w:rPr>
        <w:t>4. Obveze</w:t>
      </w:r>
    </w:p>
    <w:p w14:paraId="6B45119B" w14:textId="77777777" w:rsidR="00446E4A" w:rsidRDefault="00092D36">
      <w:r>
        <w:t>Na dan završetka izvještajnog razdoblja Škola nema dospjelih obveza.</w:t>
      </w:r>
      <w:r>
        <w:br/>
        <w:t>Stanje dospjelih obveza: 0,00 EUR</w:t>
      </w:r>
    </w:p>
    <w:p w14:paraId="53C14FE8" w14:textId="77777777" w:rsidR="00446E4A" w:rsidRDefault="00092D36">
      <w:r>
        <w:t> </w:t>
      </w:r>
    </w:p>
    <w:p w14:paraId="3A236700" w14:textId="77777777" w:rsidR="00446E4A" w:rsidRDefault="00092D36">
      <w:r>
        <w:t> </w:t>
      </w:r>
    </w:p>
    <w:p w14:paraId="7B333E2B" w14:textId="77777777" w:rsidR="00446E4A" w:rsidRDefault="00092D36">
      <w:r>
        <w:t> </w:t>
      </w:r>
    </w:p>
    <w:p w14:paraId="77E4E949" w14:textId="77777777" w:rsidR="00446E4A" w:rsidRDefault="00446E4A"/>
    <w:sectPr w:rsidR="00446E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E4A"/>
    <w:rsid w:val="000237E9"/>
    <w:rsid w:val="0005017A"/>
    <w:rsid w:val="00092D36"/>
    <w:rsid w:val="00446E4A"/>
    <w:rsid w:val="00621CC2"/>
    <w:rsid w:val="00912A13"/>
    <w:rsid w:val="009D3D50"/>
    <w:rsid w:val="00B94532"/>
    <w:rsid w:val="00E71EB7"/>
    <w:rsid w:val="00F534EB"/>
    <w:rsid w:val="00FE0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589B2"/>
  <w15:docId w15:val="{946B26FE-7529-4598-BD1E-AB041CA45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3099</Words>
  <Characters>17667</Characters>
  <Application>Microsoft Office Word</Application>
  <DocSecurity>0</DocSecurity>
  <Lines>147</Lines>
  <Paragraphs>41</Paragraphs>
  <ScaleCrop>false</ScaleCrop>
  <Company/>
  <LinksUpToDate>false</LinksUpToDate>
  <CharactersWithSpaces>20725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Martina Prvcic</cp:lastModifiedBy>
  <cp:revision>7</cp:revision>
  <dcterms:created xsi:type="dcterms:W3CDTF">2026-01-28T11:44:00Z</dcterms:created>
  <dcterms:modified xsi:type="dcterms:W3CDTF">2026-01-28T11:50:00Z</dcterms:modified>
</cp:coreProperties>
</file>